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76" w:before="0" w:after="288"/>
        <w:jc w:val="center"/>
        <w:rPr>
          <w:rFonts w:ascii="Arial" w:hAnsi="Arial" w:eastAsia="Arial" w:cs="Arial"/>
          <w:b/>
          <w:b/>
          <w:color w:val="000000"/>
          <w:sz w:val="20"/>
          <w:szCs w:val="20"/>
        </w:rPr>
      </w:pPr>
      <w:r>
        <w:rPr>
          <w:rFonts w:eastAsia="Arial" w:cs="Arial" w:ascii="Arial" w:hAnsi="Arial"/>
          <w:b/>
          <w:color w:val="000000"/>
          <w:sz w:val="20"/>
          <w:szCs w:val="20"/>
        </w:rPr>
        <w:t>ANEXO III</w:t>
      </w:r>
    </w:p>
    <w:p>
      <w:pPr>
        <w:pStyle w:val="Normal1"/>
        <w:spacing w:lineRule="auto" w:line="276" w:before="0" w:after="288"/>
        <w:jc w:val="center"/>
        <w:rPr>
          <w:rFonts w:ascii="Arial" w:hAnsi="Arial" w:eastAsia="Arial" w:cs="Arial"/>
          <w:b/>
          <w:b/>
          <w:color w:val="000000"/>
          <w:sz w:val="20"/>
          <w:szCs w:val="20"/>
        </w:rPr>
      </w:pPr>
      <w:r>
        <w:rPr>
          <w:rFonts w:eastAsia="Arial" w:cs="Arial" w:ascii="Arial" w:hAnsi="Arial"/>
          <w:b/>
          <w:color w:val="000000"/>
          <w:sz w:val="20"/>
          <w:szCs w:val="20"/>
        </w:rPr>
        <w:t>MODELO DE TERMO DE CONTRATO</w:t>
        <w:br/>
        <w:t>Lei nº 14.133, de 1º de abril de 2021</w:t>
        <w:br/>
        <w:t>SERVIÇOS – LICITAÇÃO</w:t>
      </w:r>
    </w:p>
    <w:p>
      <w:pPr>
        <w:pStyle w:val="Normal1"/>
        <w:spacing w:lineRule="auto" w:line="276" w:before="120" w:after="288"/>
        <w:ind w:firstLine="709"/>
        <w:jc w:val="center"/>
        <w:rPr>
          <w:rFonts w:ascii="Arial" w:hAnsi="Arial" w:eastAsia="Arial" w:cs="Arial"/>
          <w:b/>
          <w:b/>
          <w:color w:val="000000"/>
          <w:sz w:val="20"/>
          <w:szCs w:val="20"/>
        </w:rPr>
      </w:pPr>
      <w:r>
        <w:rPr>
          <w:rFonts w:eastAsia="Arial" w:cs="Arial" w:ascii="Arial" w:hAnsi="Arial"/>
          <w:b/>
          <w:color w:val="000000"/>
          <w:sz w:val="20"/>
          <w:szCs w:val="20"/>
        </w:rPr>
        <w:drawing>
          <wp:anchor behindDoc="0" distT="0" distB="0" distL="114300" distR="114300" simplePos="0" locked="0" layoutInCell="0" allowOverlap="1" relativeHeight="2">
            <wp:simplePos x="0" y="0"/>
            <wp:positionH relativeFrom="column">
              <wp:posOffset>2816860</wp:posOffset>
            </wp:positionH>
            <wp:positionV relativeFrom="paragraph">
              <wp:posOffset>67945</wp:posOffset>
            </wp:positionV>
            <wp:extent cx="737870" cy="806450"/>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1"/>
        <w:spacing w:lineRule="auto" w:line="276" w:before="120" w:after="288"/>
        <w:ind w:firstLine="709"/>
        <w:jc w:val="center"/>
        <w:rPr>
          <w:rFonts w:ascii="Arial" w:hAnsi="Arial" w:eastAsia="Arial" w:cs="Arial"/>
          <w:b/>
          <w:b/>
          <w:i/>
          <w:i/>
          <w:color w:val="FF0000"/>
          <w:sz w:val="20"/>
          <w:szCs w:val="20"/>
        </w:rPr>
      </w:pPr>
      <w:r>
        <w:rPr>
          <w:rFonts w:eastAsia="Arial" w:cs="Arial" w:ascii="Arial" w:hAnsi="Arial"/>
          <w:b/>
          <w:i/>
          <w:color w:val="FF0000"/>
          <w:sz w:val="20"/>
          <w:szCs w:val="20"/>
        </w:rPr>
      </w:r>
    </w:p>
    <w:p>
      <w:pPr>
        <w:pStyle w:val="Normal1"/>
        <w:spacing w:lineRule="auto" w:line="276" w:before="120" w:after="288"/>
        <w:ind w:firstLine="709"/>
        <w:jc w:val="center"/>
        <w:rPr>
          <w:rFonts w:ascii="Arial" w:hAnsi="Arial" w:eastAsia="Arial" w:cs="Arial"/>
          <w:b/>
          <w:b/>
          <w:i/>
          <w:i/>
          <w:color w:val="FF0000"/>
          <w:sz w:val="20"/>
          <w:szCs w:val="20"/>
        </w:rPr>
      </w:pPr>
      <w:r>
        <w:rPr>
          <w:rFonts w:eastAsia="Arial" w:cs="Arial" w:ascii="Arial" w:hAnsi="Arial"/>
          <w:b/>
          <w:i/>
          <w:color w:val="FF0000"/>
          <w:sz w:val="20"/>
          <w:szCs w:val="20"/>
        </w:rPr>
      </w:r>
    </w:p>
    <w:p>
      <w:pPr>
        <w:pStyle w:val="Normal1"/>
        <w:spacing w:lineRule="auto" w:line="312" w:before="120" w:after="288"/>
        <w:ind w:firstLine="709"/>
        <w:jc w:val="center"/>
        <w:rPr>
          <w:color w:val="000000"/>
        </w:rPr>
      </w:pPr>
      <w:r>
        <w:rPr>
          <w:rFonts w:eastAsia="Arial" w:cs="Arial" w:ascii="Arial" w:hAnsi="Arial"/>
          <w:b/>
          <w:i/>
          <w:color w:val="000000"/>
          <w:sz w:val="20"/>
          <w:szCs w:val="20"/>
        </w:rPr>
        <w:t>IFRS – CAMPUS IBIRUBÁ</w:t>
      </w:r>
    </w:p>
    <w:p>
      <w:pPr>
        <w:pStyle w:val="Normal1"/>
        <w:spacing w:lineRule="auto" w:line="312"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t>(Processo Administrativo n°...........)</w:t>
      </w:r>
    </w:p>
    <w:p>
      <w:pPr>
        <w:pStyle w:val="Normal1"/>
        <w:keepNext w:val="false"/>
        <w:keepLines w:val="false"/>
        <w:pageBreakBefore w:val="false"/>
        <w:widowControl/>
        <w:pBdr/>
        <w:shd w:val="clear" w:fill="auto"/>
        <w:spacing w:lineRule="auto" w:line="312" w:before="480" w:after="288"/>
        <w:ind w:left="4253" w:right="-17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CONTRATO ADMINISTRATIVO Nº ......../...., QUE FAZEM ENTRE SI A UNIÃO, POR INTERMÉDIO DO (A) ......................................................... E ............................................................. </w:t>
      </w:r>
    </w:p>
    <w:p>
      <w:pPr>
        <w:pStyle w:val="Normal1"/>
        <w:spacing w:lineRule="auto" w:line="276" w:before="120" w:after="120"/>
        <w:ind w:firstLine="1418"/>
        <w:jc w:val="both"/>
        <w:rPr>
          <w:rFonts w:ascii="Arial" w:hAnsi="Arial" w:eastAsia="Arial" w:cs="Arial"/>
          <w:sz w:val="20"/>
          <w:szCs w:val="20"/>
        </w:rPr>
      </w:pPr>
      <w:r>
        <w:rPr>
          <w:rFonts w:eastAsia="Arial" w:cs="Arial" w:ascii="Arial" w:hAnsi="Arial"/>
          <w:i/>
          <w:color w:val="FF0000"/>
          <w:sz w:val="20"/>
          <w:szCs w:val="20"/>
        </w:rPr>
        <w:t>A Autarquia Instituto Federal de Educação, Ciência e Tecnologia do Rio Grande do Sul – Campus Ibirubá</w:t>
      </w:r>
      <w:r>
        <w:rPr>
          <w:rFonts w:eastAsia="Arial" w:cs="Arial" w:ascii="Arial" w:hAnsi="Arial"/>
          <w:sz w:val="20"/>
          <w:szCs w:val="20"/>
        </w:rPr>
        <w:t xml:space="preserve">, com sede no(a) </w:t>
      </w:r>
      <w:r>
        <w:rPr>
          <w:rFonts w:eastAsia="Arial" w:cs="Arial" w:ascii="Arial" w:hAnsi="Arial"/>
          <w:color w:val="FF0000"/>
          <w:sz w:val="20"/>
          <w:szCs w:val="20"/>
        </w:rPr>
        <w:t>.....................................................</w:t>
      </w:r>
      <w:r>
        <w:rPr>
          <w:rFonts w:eastAsia="Arial" w:cs="Arial" w:ascii="Arial" w:hAnsi="Arial"/>
          <w:sz w:val="20"/>
          <w:szCs w:val="20"/>
        </w:rPr>
        <w:t xml:space="preserve">, na cidade de </w:t>
      </w:r>
      <w:r>
        <w:rPr>
          <w:rFonts w:eastAsia="Arial" w:cs="Arial" w:ascii="Arial" w:hAnsi="Arial"/>
          <w:color w:val="FF0000"/>
          <w:sz w:val="20"/>
          <w:szCs w:val="20"/>
        </w:rPr>
        <w:t>......................................</w:t>
      </w:r>
      <w:r>
        <w:rPr>
          <w:rFonts w:eastAsia="Arial" w:cs="Arial" w:ascii="Arial" w:hAnsi="Arial"/>
          <w:sz w:val="20"/>
          <w:szCs w:val="20"/>
        </w:rPr>
        <w:t xml:space="preserve"> /Estado </w:t>
      </w:r>
      <w:r>
        <w:rPr>
          <w:rFonts w:eastAsia="Arial" w:cs="Arial" w:ascii="Arial" w:hAnsi="Arial"/>
          <w:color w:val="FF0000"/>
          <w:sz w:val="20"/>
          <w:szCs w:val="20"/>
        </w:rPr>
        <w:t>...</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representado(a) pelo(a) </w:t>
      </w:r>
      <w:r>
        <w:rPr>
          <w:rFonts w:eastAsia="Arial" w:cs="Arial" w:ascii="Arial" w:hAnsi="Arial"/>
          <w:color w:val="FF0000"/>
          <w:sz w:val="20"/>
          <w:szCs w:val="20"/>
        </w:rPr>
        <w:t>......................... (</w:t>
      </w:r>
      <w:r>
        <w:rPr>
          <w:rFonts w:eastAsia="Arial" w:cs="Arial" w:ascii="Arial" w:hAnsi="Arial"/>
          <w:i/>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color w:val="FF0000"/>
          <w:sz w:val="20"/>
          <w:szCs w:val="20"/>
        </w:rPr>
        <w:t xml:space="preserve">conforme atos constitutivos da empresa </w:t>
      </w:r>
      <w:r>
        <w:rPr>
          <w:rFonts w:eastAsia="Arial" w:cs="Arial" w:ascii="Arial" w:hAnsi="Arial"/>
          <w:b/>
          <w:i/>
          <w:color w:val="FF0000"/>
          <w:sz w:val="20"/>
          <w:szCs w:val="20"/>
        </w:rPr>
        <w:t>OU</w:t>
      </w:r>
      <w:r>
        <w:rPr>
          <w:rFonts w:eastAsia="Arial" w:cs="Arial" w:ascii="Arial" w:hAnsi="Arial"/>
          <w:i/>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color w:val="FF0000"/>
          <w:sz w:val="20"/>
          <w:szCs w:val="20"/>
        </w:rPr>
        <w:t>do Pregão Eletrônico n. 49/2023</w:t>
      </w:r>
      <w:r>
        <w:rPr>
          <w:rFonts w:eastAsia="Arial" w:cs="Arial" w:ascii="Arial" w:hAnsi="Arial"/>
          <w:sz w:val="20"/>
          <w:szCs w:val="20"/>
        </w:rPr>
        <w:t>, mediante as cláusulas e condições a seguir enunciadas.</w:t>
      </w:r>
    </w:p>
    <w:p>
      <w:pPr>
        <w:pStyle w:val="Normal1"/>
        <w:keepNext w:val="true"/>
        <w:keepLines/>
        <w:pageBreakBefore w:val="false"/>
        <w:widowControl/>
        <w:numPr>
          <w:ilvl w:val="0"/>
          <w:numId w:val="6"/>
        </w:numPr>
        <w:pBdr/>
        <w:shd w:val="clear" w:fill="auto"/>
        <w:tabs>
          <w:tab w:val="clear" w:pos="720"/>
          <w:tab w:val="left" w:pos="567" w:leader="none"/>
        </w:tabs>
        <w:spacing w:lineRule="auto" w:line="240" w:before="240" w:after="0"/>
        <w:ind w:left="360" w:right="0" w:hanging="36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PRIMEIRA – OBJETO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I e 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objeto do presente instrumento é a contratação de serviços </w:t>
      </w:r>
      <w:sdt>
        <w:sdtPr/>
        <w:sdtConten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
            <w:sdtPr/>
            <w:sdtConten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Content>
          </w:sd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
            <w:sdtPr/>
            <w:sdtConten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Content>
          </w:sd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
            <w:sdtPr/>
            <w:sdtConten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Content>
          </w:sd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
            <w:sdtPr/>
            <w:sdtConten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Content>
          </w:sdt>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sdtContent>
      </w:sdt>
      <w:r>
        <w:rPr>
          <w:rFonts w:eastAsia="Arial" w:cs="Arial" w:ascii="Arial" w:hAnsi="Arial"/>
          <w:b w:val="false"/>
          <w:i w:val="false"/>
          <w:caps w:val="false"/>
          <w:smallCaps w:val="false"/>
          <w:strike/>
          <w:color w:val="000000"/>
          <w:position w:val="0"/>
          <w:sz w:val="20"/>
          <w:sz w:val="20"/>
          <w:szCs w:val="20"/>
          <w:highlight w:val="yellow"/>
          <w:u w:val="none"/>
          <w:vertAlign w:val="baseline"/>
        </w:rPr>
        <w:t>comuns</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de </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desinsetização e desratização para o IFRS - Campus Ibirubá</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nas condições estabelecidas no Termo de Referência.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Objeto da contratação:</w:t>
      </w:r>
    </w:p>
    <w:p>
      <w:pPr>
        <w:pStyle w:val="Normal1"/>
        <w:keepNext w:val="false"/>
        <w:keepLines w:val="false"/>
        <w:pageBreakBefore w:val="false"/>
        <w:widowControl/>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r>
    </w:p>
    <w:tbl>
      <w:tblPr>
        <w:tblStyle w:val="Table1"/>
        <w:tblW w:w="9750" w:type="dxa"/>
        <w:jc w:val="left"/>
        <w:tblInd w:w="-147" w:type="dxa"/>
        <w:tblLayout w:type="fixed"/>
        <w:tblCellMar>
          <w:top w:w="0" w:type="dxa"/>
          <w:left w:w="108" w:type="dxa"/>
          <w:bottom w:w="0" w:type="dxa"/>
          <w:right w:w="108" w:type="dxa"/>
        </w:tblCellMar>
        <w:tblLook w:val="0400"/>
      </w:tblPr>
      <w:tblGrid>
        <w:gridCol w:w="735"/>
        <w:gridCol w:w="3750"/>
        <w:gridCol w:w="1409"/>
        <w:gridCol w:w="961"/>
        <w:gridCol w:w="1274"/>
        <w:gridCol w:w="1620"/>
      </w:tblGrid>
      <w:tr>
        <w:trPr/>
        <w:tc>
          <w:tcPr>
            <w:tcW w:w="735"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both"/>
              <w:rPr/>
            </w:pPr>
            <w:r>
              <w:rPr>
                <w:rFonts w:eastAsia="Arial" w:cs="Arial" w:ascii="Arial" w:hAnsi="Arial"/>
                <w:b/>
                <w:color w:val="000000"/>
                <w:sz w:val="20"/>
                <w:szCs w:val="20"/>
              </w:rPr>
              <w:t>ITEM</w:t>
            </w:r>
          </w:p>
        </w:tc>
        <w:tc>
          <w:tcPr>
            <w:tcW w:w="375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both"/>
              <w:rPr/>
            </w:pPr>
            <w:r>
              <w:rPr>
                <w:rFonts w:eastAsia="Arial" w:cs="Arial" w:ascii="Arial" w:hAnsi="Arial"/>
                <w:b/>
                <w:color w:val="000000"/>
                <w:sz w:val="20"/>
                <w:szCs w:val="20"/>
              </w:rPr>
              <w:t>ESPECIFICAÇÃO</w:t>
            </w:r>
          </w:p>
        </w:tc>
        <w:tc>
          <w:tcPr>
            <w:tcW w:w="1409"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center"/>
              <w:rPr>
                <w:shd w:fill="auto" w:val="clear"/>
              </w:rPr>
            </w:pPr>
            <w:r>
              <w:rPr>
                <w:rFonts w:eastAsia="Arial" w:cs="Arial" w:ascii="Arial" w:hAnsi="Arial"/>
                <w:b/>
                <w:color w:val="000000"/>
                <w:sz w:val="20"/>
                <w:szCs w:val="20"/>
                <w:shd w:fill="auto" w:val="clear"/>
              </w:rPr>
              <w:t>UNIDADE DE MEDIDA</w:t>
            </w:r>
          </w:p>
        </w:tc>
        <w:tc>
          <w:tcPr>
            <w:tcW w:w="961"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center"/>
              <w:rPr>
                <w:shd w:fill="auto" w:val="clear"/>
              </w:rPr>
            </w:pPr>
            <w:r>
              <w:rPr>
                <w:rFonts w:eastAsia="Arial" w:cs="Arial" w:ascii="Arial" w:hAnsi="Arial"/>
                <w:b/>
                <w:sz w:val="20"/>
                <w:szCs w:val="20"/>
                <w:shd w:fill="auto" w:val="clear"/>
              </w:rPr>
              <w:t>QUANT.</w:t>
            </w:r>
          </w:p>
        </w:tc>
        <w:tc>
          <w:tcPr>
            <w:tcW w:w="1274"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center"/>
              <w:rPr>
                <w:shd w:fill="auto" w:val="clear"/>
              </w:rPr>
            </w:pPr>
            <w:r>
              <w:rPr>
                <w:rFonts w:eastAsia="Arial" w:cs="Arial" w:ascii="Arial" w:hAnsi="Arial"/>
                <w:b/>
                <w:sz w:val="20"/>
                <w:szCs w:val="20"/>
                <w:shd w:fill="auto" w:val="clear"/>
              </w:rPr>
              <w:t>VALOR UNITÁRIO</w:t>
            </w:r>
          </w:p>
        </w:tc>
        <w:tc>
          <w:tcPr>
            <w:tcW w:w="162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63" w:after="231"/>
              <w:jc w:val="center"/>
              <w:rPr>
                <w:shd w:fill="auto" w:val="clear"/>
              </w:rPr>
            </w:pPr>
            <w:r>
              <w:rPr>
                <w:rFonts w:eastAsia="Arial" w:cs="Arial" w:ascii="Arial" w:hAnsi="Arial"/>
                <w:b/>
                <w:sz w:val="20"/>
                <w:szCs w:val="20"/>
                <w:shd w:fill="auto" w:val="clear"/>
              </w:rPr>
              <w:t>VALOR TOTAL</w:t>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b/>
                <w:b/>
                <w:color w:val="000000"/>
                <w:sz w:val="20"/>
                <w:szCs w:val="20"/>
              </w:rPr>
            </w:pPr>
            <w:r>
              <w:rPr>
                <w:rFonts w:eastAsia="Arial" w:cs="Arial" w:ascii="Arial" w:hAnsi="Arial"/>
                <w:b/>
                <w:color w:val="000000"/>
                <w:sz w:val="20"/>
                <w:szCs w:val="20"/>
              </w:rPr>
              <w:t>1</w:t>
            </w:r>
            <w:bookmarkStart w:id="0" w:name="bookmark=id.gjdgxs"/>
          </w:p>
        </w:tc>
        <w:tc>
          <w:tcPr>
            <w:tcW w:w="375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both"/>
              <w:rPr>
                <w:rFonts w:ascii="Arial" w:hAnsi="Arial" w:eastAsia="Arial" w:cs="Arial"/>
                <w:color w:val="000000"/>
                <w:sz w:val="20"/>
                <w:szCs w:val="20"/>
              </w:rPr>
            </w:pPr>
            <w:bookmarkEnd w:id="0"/>
            <w:r>
              <w:rPr>
                <w:rFonts w:eastAsia="Calibri" w:cs="Calibri" w:ascii="Calibri" w:hAnsi="Calibri"/>
                <w:b/>
                <w:i w:val="false"/>
                <w:caps w:val="false"/>
                <w:smallCaps w:val="false"/>
                <w:strike w:val="false"/>
                <w:dstrike w:val="false"/>
                <w:color w:val="000000"/>
                <w:sz w:val="24"/>
                <w:szCs w:val="24"/>
                <w:highlight w:val="white"/>
                <w:u w:val="none"/>
              </w:rPr>
              <w:t>Serviços de Desratização</w:t>
            </w:r>
            <w:r>
              <w:rPr>
                <w:rFonts w:eastAsia="Calibri" w:cs="Calibri" w:ascii="Calibri" w:hAnsi="Calibri"/>
                <w:b w:val="false"/>
                <w:i w:val="false"/>
                <w:caps w:val="false"/>
                <w:smallCaps w:val="false"/>
                <w:strike w:val="false"/>
                <w:dstrike w:val="false"/>
                <w:color w:val="000000"/>
                <w:sz w:val="24"/>
                <w:szCs w:val="24"/>
                <w:highlight w:val="white"/>
                <w:u w:val="none"/>
              </w:rPr>
              <w:t xml:space="preserve">. Para execução dos serviços de controle e prevenção deverão ser colocadas e mantidas durante todo o período da prestação de serviço, em número mínimo de </w:t>
            </w:r>
            <w:r>
              <w:rPr>
                <w:rFonts w:eastAsia="Calibri" w:cs="Calibri" w:ascii="Calibri" w:hAnsi="Calibri"/>
                <w:b/>
                <w:i w:val="false"/>
                <w:caps w:val="false"/>
                <w:smallCaps w:val="false"/>
                <w:strike w:val="false"/>
                <w:dstrike w:val="false"/>
                <w:color w:val="000000"/>
                <w:sz w:val="24"/>
                <w:szCs w:val="24"/>
                <w:highlight w:val="white"/>
                <w:u w:val="none"/>
              </w:rPr>
              <w:t>30 (trinta) unidades</w:t>
            </w:r>
            <w:r>
              <w:rPr>
                <w:rFonts w:eastAsia="Calibri" w:cs="Calibri" w:ascii="Calibri" w:hAnsi="Calibri"/>
                <w:b w:val="false"/>
                <w:i w:val="false"/>
                <w:caps w:val="false"/>
                <w:smallCaps w:val="false"/>
                <w:strike w:val="false"/>
                <w:dstrike w:val="false"/>
                <w:color w:val="000000"/>
                <w:sz w:val="24"/>
                <w:szCs w:val="24"/>
                <w:highlight w:val="white"/>
                <w:u w:val="none"/>
              </w:rPr>
              <w:t>, distribuídas em todos os prédios existentes no Campus. As iscas colocadas nas armadilhas (caixas de PVC) deverão ter um período de reposição de, no máximo, 30 (trinta) dias. As iscas deverão ter, em seus princípios ativos, Flocoumafem, Difethialone, ou Brodifacoum, de qualquer marca. Os serviços de controle e prevenção deverão ser executados durante um período de 24 (doze) meses. Deve ser entregue certificado ou comprovação de execução do serviço ao final de cada serviço. Na área de manipulação de alimentos, devem ser usados produtos aprovados ao controle de pragas para áreas internas de produção alimentícia (que possam ser utilizados nessas áreas).</w:t>
            </w:r>
          </w:p>
        </w:tc>
        <w:tc>
          <w:tcPr>
            <w:tcW w:w="1409"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color w:val="000000"/>
                <w:sz w:val="20"/>
                <w:szCs w:val="20"/>
              </w:rPr>
            </w:pPr>
            <w:r>
              <w:rPr>
                <w:rFonts w:eastAsia="Arial" w:cs="Arial" w:ascii="Arial" w:hAnsi="Arial"/>
                <w:color w:val="000000"/>
                <w:sz w:val="20"/>
                <w:szCs w:val="20"/>
              </w:rPr>
              <w:t>Mês</w:t>
            </w:r>
          </w:p>
        </w:tc>
        <w:tc>
          <w:tcPr>
            <w:tcW w:w="961"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color w:val="000000"/>
                <w:sz w:val="20"/>
                <w:szCs w:val="20"/>
              </w:rPr>
            </w:pPr>
            <w:r>
              <w:rPr>
                <w:rFonts w:eastAsia="Arial" w:cs="Arial" w:ascii="Arial" w:hAnsi="Arial"/>
                <w:color w:val="000000"/>
                <w:sz w:val="20"/>
                <w:szCs w:val="20"/>
              </w:rPr>
              <w:t>24</w:t>
            </w:r>
          </w:p>
        </w:tc>
        <w:tc>
          <w:tcPr>
            <w:tcW w:w="1274"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Calibri" w:hAnsi="Calibri" w:eastAsia="Calibri" w:cs="Calibri"/>
                <w:b w:val="false"/>
                <w:b w:val="false"/>
                <w:i w:val="false"/>
                <w:i w:val="false"/>
                <w:caps w:val="false"/>
                <w:smallCaps w:val="false"/>
                <w:strike w:val="false"/>
                <w:dstrike w:val="false"/>
                <w:color w:val="000000"/>
                <w:sz w:val="24"/>
                <w:szCs w:val="24"/>
                <w:highlight w:val="white"/>
                <w:u w:val="none"/>
              </w:rPr>
            </w:pPr>
            <w:r>
              <w:rPr>
                <w:rFonts w:eastAsia="Calibri" w:cs="Calibri" w:ascii="Calibri" w:hAnsi="Calibri"/>
                <w:b w:val="false"/>
                <w:i w:val="false"/>
                <w:caps w:val="false"/>
                <w:smallCaps w:val="false"/>
                <w:strike w:val="false"/>
                <w:dstrike w:val="false"/>
                <w:color w:val="000000"/>
                <w:sz w:val="24"/>
                <w:szCs w:val="24"/>
                <w:highlight w:val="white"/>
                <w:u w:val="none"/>
              </w:rPr>
            </w:r>
          </w:p>
        </w:tc>
        <w:tc>
          <w:tcPr>
            <w:tcW w:w="162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Calibri" w:hAnsi="Calibri" w:eastAsia="Calibri" w:cs="Calibri"/>
                <w:b w:val="false"/>
                <w:b w:val="false"/>
                <w:i w:val="false"/>
                <w:i w:val="false"/>
                <w:caps w:val="false"/>
                <w:smallCaps w:val="false"/>
                <w:strike w:val="false"/>
                <w:dstrike w:val="false"/>
                <w:color w:val="000000"/>
                <w:sz w:val="24"/>
                <w:szCs w:val="24"/>
                <w:highlight w:val="white"/>
                <w:u w:val="none"/>
              </w:rPr>
            </w:pPr>
            <w:r>
              <w:rPr>
                <w:rFonts w:eastAsia="Calibri" w:cs="Calibri" w:ascii="Calibri" w:hAnsi="Calibri"/>
                <w:b w:val="false"/>
                <w:i w:val="false"/>
                <w:caps w:val="false"/>
                <w:smallCaps w:val="false"/>
                <w:strike w:val="false"/>
                <w:dstrike w:val="false"/>
                <w:color w:val="000000"/>
                <w:sz w:val="24"/>
                <w:szCs w:val="24"/>
                <w:highlight w:val="white"/>
                <w:u w:val="none"/>
              </w:rPr>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b/>
                <w:b/>
                <w:color w:val="000000"/>
                <w:sz w:val="20"/>
                <w:szCs w:val="20"/>
              </w:rPr>
            </w:pPr>
            <w:r>
              <w:rPr>
                <w:rFonts w:eastAsia="Arial" w:cs="Arial" w:ascii="Arial" w:hAnsi="Arial"/>
                <w:b/>
                <w:color w:val="000000"/>
                <w:sz w:val="20"/>
                <w:szCs w:val="20"/>
              </w:rPr>
              <w:t>2</w:t>
            </w:r>
            <w:bookmarkStart w:id="1" w:name="bookmark=id.30j0zll"/>
          </w:p>
        </w:tc>
        <w:tc>
          <w:tcPr>
            <w:tcW w:w="375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both"/>
              <w:rPr>
                <w:rFonts w:ascii="Arial" w:hAnsi="Arial" w:eastAsia="Arial" w:cs="Arial"/>
                <w:color w:val="000000"/>
                <w:sz w:val="20"/>
                <w:szCs w:val="20"/>
              </w:rPr>
            </w:pPr>
            <w:bookmarkEnd w:id="1"/>
            <w:r>
              <w:rPr>
                <w:rFonts w:eastAsia="Calibri" w:cs="Calibri" w:ascii="Calibri" w:hAnsi="Calibri"/>
                <w:b/>
                <w:i w:val="false"/>
                <w:caps w:val="false"/>
                <w:smallCaps w:val="false"/>
                <w:strike w:val="false"/>
                <w:dstrike w:val="false"/>
                <w:color w:val="000000"/>
                <w:sz w:val="24"/>
                <w:szCs w:val="24"/>
                <w:highlight w:val="white"/>
                <w:u w:val="none"/>
              </w:rPr>
              <w:t>Serviço de Desinsetização</w:t>
            </w:r>
            <w:r>
              <w:rPr>
                <w:rFonts w:eastAsia="Calibri" w:cs="Calibri" w:ascii="Calibri" w:hAnsi="Calibri"/>
                <w:b w:val="false"/>
                <w:i w:val="false"/>
                <w:caps w:val="false"/>
                <w:smallCaps w:val="false"/>
                <w:strike w:val="false"/>
                <w:dstrike w:val="false"/>
                <w:color w:val="000000"/>
                <w:sz w:val="24"/>
                <w:szCs w:val="24"/>
                <w:highlight w:val="white"/>
                <w:u w:val="none"/>
              </w:rPr>
              <w:t>. A desinsetização deve ser efetuada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 Aplicação semestral. Inclui exterminação de pulgas, traças, baratas, moscas, mosquitos, aranhas, formigas, escorpiões, percevejos, tesourinha e ácaros. Deve ser entregue certificado ou comprovação de execução ao final de cada serviço. Deve haver acompanhamento durante 06 (seis) meses a partir da aplicação. Na área de manipulação de alimentos, devem ser usados produtos aprovados ao controle de pragas para áreas internas de produção alimentícia (que possam ser utilizados nessas áreas).</w:t>
            </w:r>
          </w:p>
        </w:tc>
        <w:tc>
          <w:tcPr>
            <w:tcW w:w="1409"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color w:val="000000"/>
                <w:sz w:val="20"/>
                <w:szCs w:val="20"/>
              </w:rPr>
            </w:pPr>
            <w:r>
              <w:rPr>
                <w:rFonts w:eastAsia="Arial" w:cs="Arial" w:ascii="Arial" w:hAnsi="Arial"/>
                <w:color w:val="000000"/>
                <w:sz w:val="20"/>
                <w:szCs w:val="20"/>
              </w:rPr>
              <w:t>Unidade</w:t>
            </w:r>
          </w:p>
        </w:tc>
        <w:tc>
          <w:tcPr>
            <w:tcW w:w="961"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center"/>
              <w:rPr>
                <w:rFonts w:ascii="Arial" w:hAnsi="Arial" w:eastAsia="Arial" w:cs="Arial"/>
                <w:color w:val="000000"/>
                <w:sz w:val="20"/>
                <w:szCs w:val="20"/>
              </w:rPr>
            </w:pPr>
            <w:r>
              <w:rPr>
                <w:rFonts w:eastAsia="Arial" w:cs="Arial" w:ascii="Arial" w:hAnsi="Arial"/>
                <w:color w:val="000000"/>
                <w:sz w:val="20"/>
                <w:szCs w:val="20"/>
              </w:rPr>
              <w:t>04</w:t>
            </w:r>
          </w:p>
        </w:tc>
        <w:tc>
          <w:tcPr>
            <w:tcW w:w="1274"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both"/>
              <w:rPr>
                <w:rFonts w:ascii="Calibri" w:hAnsi="Calibri" w:eastAsia="Calibri" w:cs="Calibri"/>
                <w:b w:val="false"/>
                <w:b w:val="false"/>
                <w:i w:val="false"/>
                <w:i w:val="false"/>
                <w:caps w:val="false"/>
                <w:smallCaps w:val="false"/>
                <w:strike w:val="false"/>
                <w:dstrike w:val="false"/>
                <w:color w:val="000000"/>
                <w:sz w:val="22"/>
                <w:szCs w:val="22"/>
                <w:highlight w:val="white"/>
                <w:u w:val="none"/>
              </w:rPr>
            </w:pPr>
            <w:r>
              <w:rPr>
                <w:rFonts w:eastAsia="Calibri" w:cs="Calibri" w:ascii="Calibri" w:hAnsi="Calibri"/>
                <w:b w:val="false"/>
                <w:i w:val="false"/>
                <w:caps w:val="false"/>
                <w:smallCaps w:val="false"/>
                <w:strike w:val="false"/>
                <w:dstrike w:val="false"/>
                <w:color w:val="000000"/>
                <w:sz w:val="22"/>
                <w:szCs w:val="22"/>
                <w:highlight w:val="white"/>
                <w:u w:val="none"/>
              </w:rPr>
            </w:r>
          </w:p>
        </w:tc>
        <w:tc>
          <w:tcPr>
            <w:tcW w:w="1620" w:type="dxa"/>
            <w:tcBorders>
              <w:top w:val="single" w:sz="4" w:space="0" w:color="000000"/>
              <w:left w:val="single" w:sz="4" w:space="0" w:color="000000"/>
              <w:bottom w:val="single" w:sz="4" w:space="0" w:color="000000"/>
              <w:right w:val="single" w:sz="4" w:space="0" w:color="000000"/>
            </w:tcBorders>
          </w:tcPr>
          <w:p>
            <w:pPr>
              <w:pStyle w:val="Normal1"/>
              <w:widowControl w:val="false"/>
              <w:spacing w:lineRule="auto" w:line="312" w:before="120" w:after="288"/>
              <w:ind w:hanging="0"/>
              <w:jc w:val="both"/>
              <w:rPr>
                <w:rFonts w:ascii="Calibri" w:hAnsi="Calibri" w:eastAsia="Calibri" w:cs="Calibri"/>
                <w:b w:val="false"/>
                <w:b w:val="false"/>
                <w:i w:val="false"/>
                <w:i w:val="false"/>
                <w:caps w:val="false"/>
                <w:smallCaps w:val="false"/>
                <w:strike w:val="false"/>
                <w:dstrike w:val="false"/>
                <w:color w:val="000000"/>
                <w:sz w:val="22"/>
                <w:szCs w:val="22"/>
                <w:highlight w:val="white"/>
                <w:u w:val="none"/>
              </w:rPr>
            </w:pPr>
            <w:r>
              <w:rPr>
                <w:rFonts w:eastAsia="Calibri" w:cs="Calibri" w:ascii="Calibri" w:hAnsi="Calibri"/>
                <w:b w:val="false"/>
                <w:i w:val="false"/>
                <w:caps w:val="false"/>
                <w:smallCaps w:val="false"/>
                <w:strike w:val="false"/>
                <w:dstrike w:val="false"/>
                <w:color w:val="000000"/>
                <w:sz w:val="22"/>
                <w:szCs w:val="22"/>
                <w:highlight w:val="white"/>
                <w:u w:val="none"/>
              </w:rPr>
            </w:r>
          </w:p>
        </w:tc>
      </w:tr>
      <w:tr>
        <w:trPr>
          <w:trHeight w:val="240" w:hRule="atLeast"/>
        </w:trPr>
        <w:tc>
          <w:tcPr>
            <w:tcW w:w="6855" w:type="dxa"/>
            <w:gridSpan w:val="4"/>
            <w:tcBorders>
              <w:left w:val="single" w:sz="4" w:space="0" w:color="000000"/>
              <w:bottom w:val="single" w:sz="4" w:space="0" w:color="000000"/>
              <w:right w:val="single" w:sz="4" w:space="0" w:color="000000"/>
            </w:tcBorders>
          </w:tcPr>
          <w:p>
            <w:pPr>
              <w:pStyle w:val="Normal1"/>
              <w:widowControl w:val="false"/>
              <w:spacing w:lineRule="auto" w:line="312" w:before="120" w:after="288"/>
              <w:ind w:hanging="0"/>
              <w:jc w:val="right"/>
              <w:rPr>
                <w:rFonts w:ascii="Arial" w:hAnsi="Arial" w:eastAsia="Arial" w:cs="Arial"/>
                <w:b/>
                <w:b/>
                <w:color w:val="000000"/>
                <w:sz w:val="24"/>
                <w:szCs w:val="24"/>
              </w:rPr>
            </w:pPr>
            <w:r>
              <w:rPr>
                <w:rFonts w:eastAsia="Arial" w:cs="Arial" w:ascii="Arial" w:hAnsi="Arial"/>
                <w:b/>
                <w:color w:val="000000"/>
                <w:sz w:val="24"/>
                <w:szCs w:val="24"/>
              </w:rPr>
              <w:t>VALOR TOTAL =</w:t>
            </w:r>
          </w:p>
        </w:tc>
        <w:tc>
          <w:tcPr>
            <w:tcW w:w="2894" w:type="dxa"/>
            <w:gridSpan w:val="2"/>
            <w:tcBorders>
              <w:left w:val="single" w:sz="4" w:space="0" w:color="000000"/>
              <w:bottom w:val="single" w:sz="4" w:space="0" w:color="000000"/>
              <w:right w:val="single" w:sz="4" w:space="0" w:color="000000"/>
            </w:tcBorders>
          </w:tcPr>
          <w:p>
            <w:pPr>
              <w:pStyle w:val="Normal1"/>
              <w:widowControl w:val="false"/>
              <w:spacing w:lineRule="auto" w:line="312" w:before="120" w:after="288"/>
              <w:ind w:hanging="0"/>
              <w:jc w:val="both"/>
              <w:rPr>
                <w:rFonts w:ascii="Arial" w:hAnsi="Arial" w:eastAsia="Arial" w:cs="Arial"/>
                <w:b/>
                <w:b/>
                <w:i w:val="false"/>
                <w:i w:val="false"/>
                <w:caps w:val="false"/>
                <w:smallCaps w:val="false"/>
                <w:strike w:val="false"/>
                <w:dstrike w:val="false"/>
                <w:color w:val="000000"/>
                <w:sz w:val="24"/>
                <w:szCs w:val="24"/>
                <w:highlight w:val="white"/>
                <w:u w:val="none"/>
              </w:rPr>
            </w:pPr>
            <w:r>
              <w:rPr>
                <w:rFonts w:eastAsia="Arial" w:cs="Arial" w:ascii="Arial" w:hAnsi="Arial"/>
                <w:b/>
                <w:i w:val="false"/>
                <w:caps w:val="false"/>
                <w:smallCaps w:val="false"/>
                <w:strike w:val="false"/>
                <w:dstrike w:val="false"/>
                <w:color w:val="000000"/>
                <w:sz w:val="24"/>
                <w:szCs w:val="24"/>
                <w:highlight w:val="white"/>
                <w:u w:val="none"/>
              </w:rPr>
            </w:r>
          </w:p>
        </w:tc>
      </w:tr>
    </w:tbl>
    <w:p>
      <w:pPr>
        <w:pStyle w:val="Normal1"/>
        <w:ind w:left="0" w:hanging="0"/>
        <w:rPr/>
      </w:pPr>
      <w:r>
        <w:rPr/>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Vinculam esta contratação, independentemente de transcrição:</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Termo de Referência;</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Edital da Licitação;</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Proposta do contratado;</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Eventuais anexos dos documentos supracitados.</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SEGUNDA – VIGÊNCIA E PRORROGAÇÃO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O prazo de vigência da contratação é de .............................. contados do(a) ............................., na forma do artigo 105 da Lei n° 14.133, de 2021.</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O prazo de vigência será automaticamente prorrogado, independentemente de termo aditivo, quando o objeto não for concluído no período firmado acima, ressalvadas as providências cabíveis no caso de culpa do contratado, previstas neste instrumento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prazo de vigência da contratação é de 24 (vinte e quatro) meses contados do</w:t>
      </w:r>
      <w:r>
        <w:rPr>
          <w:rFonts w:eastAsia="Arial" w:cs="Arial" w:ascii="Arial" w:hAnsi="Arial"/>
          <w:b/>
          <w:i/>
          <w:caps w:val="false"/>
          <w:smallCaps w:val="false"/>
          <w:strike w:val="false"/>
          <w:dstrike w:val="false"/>
          <w:color w:val="6AA84F"/>
          <w:position w:val="0"/>
          <w:sz w:val="20"/>
          <w:sz w:val="20"/>
          <w:szCs w:val="20"/>
          <w:u w:val="none"/>
          <w:shd w:fill="auto" w:val="clear"/>
          <w:vertAlign w:val="baseline"/>
        </w:rPr>
        <w:t xml:space="preserve"> dia ___/___/____ até __/__/____, </w:t>
      </w:r>
      <w:sdt>
        <w:sdtPr/>
        <w:sdtContent>
          <w:r>
            <w:rPr>
              <w:rFonts w:eastAsia="Arial" w:cs="Arial" w:ascii="Arial" w:hAnsi="Arial"/>
              <w:b/>
              <w:i/>
              <w:caps w:val="false"/>
              <w:smallCaps w:val="false"/>
              <w:strike w:val="false"/>
              <w:dstrike w:val="false"/>
              <w:color w:val="6AA84F"/>
              <w:position w:val="0"/>
              <w:sz w:val="20"/>
              <w:sz w:val="20"/>
              <w:szCs w:val="20"/>
              <w:u w:val="none"/>
              <w:shd w:fill="auto" w:val="clear"/>
              <w:vertAlign w:val="baseline"/>
            </w:rPr>
          </w:r>
          <w:r>
            <w:rPr>
              <w:rFonts w:eastAsia="Arial" w:cs="Arial" w:ascii="Arial" w:hAnsi="Arial"/>
              <w:b/>
              <w:i/>
              <w:caps w:val="false"/>
              <w:smallCaps w:val="false"/>
              <w:strike w:val="false"/>
              <w:dstrike w:val="false"/>
              <w:color w:val="6AA84F"/>
              <w:position w:val="0"/>
              <w:sz w:val="20"/>
              <w:sz w:val="20"/>
              <w:szCs w:val="20"/>
              <w:u w:val="none"/>
              <w:shd w:fill="auto" w:val="clear"/>
              <w:vertAlign w:val="baseline"/>
            </w:rPr>
          </w:r>
          <w:sdt>
            <w:sdtPr/>
            <w:sdtContent>
              <w:r>
                <w:rPr>
                  <w:rFonts w:eastAsia="Arial" w:cs="Arial" w:ascii="Arial" w:hAnsi="Arial"/>
                  <w:b/>
                  <w:i/>
                  <w:caps w:val="false"/>
                  <w:smallCaps w:val="false"/>
                  <w:strike w:val="false"/>
                  <w:dstrike w:val="false"/>
                  <w:color w:val="6AA84F"/>
                  <w:position w:val="0"/>
                  <w:sz w:val="20"/>
                  <w:sz w:val="20"/>
                  <w:szCs w:val="20"/>
                  <w:u w:val="none"/>
                  <w:shd w:fill="auto" w:val="clear"/>
                  <w:vertAlign w:val="baseline"/>
                </w:rPr>
              </w:r>
            </w:sdtContent>
          </w:sdt>
          <w:r>
            <w:rPr>
              <w:rFonts w:eastAsia="Arial" w:cs="Arial" w:ascii="Arial" w:hAnsi="Arial"/>
              <w:b/>
              <w:i/>
              <w:caps w:val="false"/>
              <w:smallCaps w:val="false"/>
              <w:strike w:val="false"/>
              <w:dstrike w:val="false"/>
              <w:color w:val="6AA84F"/>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conforme previsão de vigência no instrumento contratual</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prorrogável por até 10 anos, na forma dos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"http://www.planalto.gov.br/ccivil_03/_ato2019-2022/2021/lei/L14133.htm" \l "art106"</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artigos 106 e 107 da Lei n° 14.133, de 2021.</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ormal1"/>
        <w:keepNext w:val="false"/>
        <w:keepLines w:val="false"/>
        <w:pageBreakBefore w:val="false"/>
        <w:widowControl/>
        <w:numPr>
          <w:ilvl w:val="1"/>
          <w:numId w:val="7"/>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Estar formalmente demonstrado no processo que a forma de prestação dos serviços tem natureza continuada;</w:t>
      </w:r>
    </w:p>
    <w:p>
      <w:pPr>
        <w:pStyle w:val="Normal1"/>
        <w:keepNext w:val="false"/>
        <w:keepLines w:val="false"/>
        <w:pageBreakBefore w:val="false"/>
        <w:widowControl/>
        <w:numPr>
          <w:ilvl w:val="1"/>
          <w:numId w:val="7"/>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Seja juntado relatório que discorra sobre a execução do contrato, com informações de que os serviços tenham sido prestados regularmente;  </w:t>
      </w:r>
    </w:p>
    <w:p>
      <w:pPr>
        <w:pStyle w:val="Normal1"/>
        <w:keepNext w:val="false"/>
        <w:keepLines w:val="false"/>
        <w:pageBreakBefore w:val="false"/>
        <w:widowControl/>
        <w:numPr>
          <w:ilvl w:val="1"/>
          <w:numId w:val="7"/>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Seja juntada justificativa e motivo, por escrito, de que a Administração mantém interesse na realização do serviço;  </w:t>
      </w:r>
    </w:p>
    <w:p>
      <w:pPr>
        <w:pStyle w:val="Normal1"/>
        <w:keepNext w:val="false"/>
        <w:keepLines w:val="false"/>
        <w:pageBreakBefore w:val="false"/>
        <w:widowControl/>
        <w:numPr>
          <w:ilvl w:val="1"/>
          <w:numId w:val="7"/>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Haja manifestação expressa do contratado informando o interesse na prorrogação; </w:t>
      </w:r>
    </w:p>
    <w:p>
      <w:pPr>
        <w:pStyle w:val="Normal1"/>
        <w:keepNext w:val="false"/>
        <w:keepLines w:val="false"/>
        <w:pageBreakBefore w:val="false"/>
        <w:widowControl/>
        <w:numPr>
          <w:ilvl w:val="1"/>
          <w:numId w:val="7"/>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Seja comprovado que o contratado mantém as condições iniciais de habilitação.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contratado não tem direito subjetivo à prorrogação contratual.</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prorrogação de contrato deverá ser promovida mediante celebração de termo aditivo.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Nas eventuais prorrogações contratuais, os custos não renováveis já pagos ou amortizados ao longo do primeiro período de vigência da contratação deverão ser reduzidos ou eliminados como condição para a renovação.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contrato não poderá ser prorrogado quando o contratado tiver sido penalizado nas sanções de declaração de inidoneidade ou impedimento de licitar e contratar com poder público, observadas as abrangências de aplicação.</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bookmarkStart w:id="2" w:name="_heading=h.1fob9te"/>
      <w:bookmarkEnd w:id="2"/>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TERCEIRA – MODELOS DE EXECUÇÃO E GESTÃO CONTRATUAIS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IV, VII e XVIII)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regime de execução contratual, os modelos de gestão e de execução, assim como os prazos e condições de conclusão, entrega, observação e recebimento do objeto constam no Termo de Referência, anexo a este Contrato.</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QUARTA – SUBCONTRATAÇÃO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Não será admitida a subcontratação do objeto contratual.</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É permitida a subcontratação parcial do objeto, até o limite de ......% (..... por cento) do valor total do contrato, nas seguintes condições: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u w:val="none"/>
          <w:shd w:fill="auto" w:val="clear"/>
          <w:vertAlign w:val="baseline"/>
        </w:rPr>
        <w:t>É vedada a subcontratação completa ou da parcela principal da obrigação, abaixo discriminada:</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288"/>
        <w:ind w:left="0" w:right="0" w:firstLine="709"/>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Poderão ser subcontratadas as seguintes parcelas do objeto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A subcontratação depende de autorização prévia do contratante, a quem incumbe avaliar se o subcontratado cumpre os requisitos de qualificação técnica necessários para a execução do objeto.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O contratado apresentará à Administração documentação que comprove a capacidade técnica do subcontratado, que será avaliada e juntada aos autos do processo correspondente</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O CONTRATADO será responsável pela padronização, pela compatibilidade, pelo gerenciamento centralizado e pela qualidade da subcontratação.</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highlight w:val="yellow"/>
          <w:u w:val="none"/>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Os empenhos e pagamentos referentes às parcelas subcontratadas serão destinados diretamente às microempresas e empresas de pequeno porte subcontratadas</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QUINTA – PREÇO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V</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w:t>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valor mensal da contratação do serviço de desratização é de R$ .......... (.....), perfazendo o valor total de R$ ....... (....)</w:t>
      </w:r>
      <w:r>
        <w:rPr>
          <w:rFonts w:eastAsia="Arial" w:cs="Arial" w:ascii="Arial" w:hAnsi="Arial"/>
          <w:i/>
          <w:color w:val="FF0000"/>
          <w:sz w:val="20"/>
          <w:szCs w:val="20"/>
        </w:rPr>
        <w:t xml:space="preserve"> e o valor por serviço de desinsetização é de R$.......(.....),  perfazendo o valor total de R$..... (....), ficando o valor global de R$.... (....) para os serviços. </w:t>
      </w:r>
    </w:p>
    <w:p>
      <w:pPr>
        <w:pStyle w:val="Normal1"/>
        <w:spacing w:lineRule="auto" w:line="276" w:before="240" w:after="240"/>
        <w:ind w:left="0" w:hanging="0"/>
        <w:rPr>
          <w:rFonts w:ascii="Arial" w:hAnsi="Arial" w:eastAsia="Arial" w:cs="Arial"/>
          <w:i/>
          <w:i/>
          <w:color w:val="FF0000"/>
          <w:sz w:val="20"/>
          <w:szCs w:val="20"/>
        </w:rPr>
      </w:pPr>
      <w:r>
        <w:rPr>
          <w:rFonts w:eastAsia="Arial" w:cs="Arial" w:ascii="Arial" w:hAnsi="Arial"/>
          <w:i/>
          <w:color w:val="FF0000"/>
          <w:sz w:val="20"/>
          <w:szCs w:val="20"/>
        </w:rPr>
        <w:br/>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O valor total da contratação é de R$..........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sdt>
        <w:sdtPr/>
        <w:sdtContent>
          <w:r>
            <w:rPr/>
          </w:r>
          <w:r>
            <w:rPr/>
          </w:r>
          <w:sdt>
            <w:sdtPr/>
            <w:sdtContent>
              <w:r>
                <w:rPr/>
              </w:r>
            </w:sdtContent>
          </w:sdt>
          <w:r>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valor acima é meramente estimativo, de forma que os pagamentos devidos ao contratado dependerão dos quantitativos efetivamente fornecidos.</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SEXTA - PAGAMENTO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V e VI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prazo para pagamento ao contratado e demais condições a ele referentes encontram-se definidos no Termo de Referência, anexo a este Contrato.</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SÉTIMA - REAJUSTE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V</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preços inicialmente contratados são fixos e irreajustáveis no prazo de um ano contado da data do orçamento estimado, em </w:t>
      </w:r>
      <w:r>
        <w:rPr>
          <w:rFonts w:eastAsia="Arial" w:cs="Arial" w:ascii="Arial" w:hAnsi="Arial"/>
          <w:i/>
          <w:color w:val="FF0000"/>
          <w:sz w:val="20"/>
          <w:szCs w:val="20"/>
        </w:rPr>
        <w:t>22</w:t>
      </w:r>
      <w:sdt>
        <w:sdtPr/>
        <w:sdtContent>
          <w:r>
            <w:rPr>
              <w:rFonts w:eastAsia="Arial" w:cs="Arial" w:ascii="Arial" w:hAnsi="Arial"/>
              <w:i/>
              <w:color w:val="FF0000"/>
              <w:sz w:val="20"/>
              <w:szCs w:val="20"/>
            </w:rPr>
          </w:r>
          <w:r>
            <w:rPr>
              <w:rFonts w:eastAsia="Arial" w:cs="Arial" w:ascii="Arial" w:hAnsi="Arial"/>
              <w:i/>
              <w:color w:val="FF0000"/>
              <w:sz w:val="20"/>
              <w:szCs w:val="20"/>
            </w:rPr>
          </w:r>
          <w:sdt>
            <w:sdtPr/>
            <w:sdtContent>
              <w:r>
                <w:rPr>
                  <w:rFonts w:eastAsia="Arial" w:cs="Arial" w:ascii="Arial" w:hAnsi="Arial"/>
                  <w:i/>
                  <w:color w:val="FF0000"/>
                  <w:sz w:val="20"/>
                  <w:szCs w:val="20"/>
                </w:rPr>
              </w:r>
            </w:sdtContent>
          </w:sdt>
          <w:r>
            <w:rPr>
              <w:rFonts w:eastAsia="Arial" w:cs="Arial" w:ascii="Arial" w:hAnsi="Arial"/>
              <w:i/>
              <w:color w:val="FF0000"/>
              <w:sz w:val="20"/>
              <w:szCs w:val="20"/>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r>
        <w:rPr>
          <w:rFonts w:eastAsia="Arial" w:cs="Arial" w:ascii="Arial" w:hAnsi="Arial"/>
          <w:i/>
          <w:color w:val="FF0000"/>
          <w:sz w:val="20"/>
          <w:szCs w:val="20"/>
        </w:rPr>
        <w:t>09</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r>
        <w:rPr>
          <w:rFonts w:eastAsia="Arial" w:cs="Arial" w:ascii="Arial" w:hAnsi="Arial"/>
          <w:i/>
          <w:color w:val="FF0000"/>
          <w:sz w:val="20"/>
          <w:szCs w:val="20"/>
        </w:rPr>
        <w:t>2023</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bookmarkStart w:id="3" w:name="_heading=h.3znysh7"/>
      <w:bookmarkEnd w:id="3"/>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Após o interregno de um ano, e independentemente de pedido do contratado, os preços iniciais serão reajustados, mediante a aplicação, pelo contratante, do índice </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 xml:space="preserve">IPCA </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(Índice de Preços ao Consumidor Amplo)</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exclusivamente para as obrigações iniciadas e concluídas após a ocorrência da anualidade.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Nos reajustes subsequentes ao primeiro, o interregno mínimo de um ano será contado a partir dos efeitos financeiros do último reajuste.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Nas aferições finais, o(s) índice(s) utilizado(s) para reajuste será(ão), obrigatoriamente, o(s) definitivo(s).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Caso o(s) índice(s) estabelecido(s) para reajustamento venha(m) a ser extinto(s) ou de qualquer forma não possa(m) mais ser utilizado(s), será(ão) adotado(s), em substituição, o(s) que vier(em) a ser determinado(s) pela legislação então em vigor.</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Na ausência de previsão legal quanto ao índice substituto, as partes elegerão novo índice oficial, para reajustamento do preço do valor remanescente, por meio de termo aditivo.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reajuste será realizado por apostilamento.</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CLÁUSULA OITAVA - OBRIGAÇÕES DO CONTRATANTE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X, XI e XIV</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São obrigações do Contratante: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Exigir o cumprimento de todas as obrigações assumidas pelo Contratado, de acordo com o contrato e seus anexos;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Receber o objeto no prazo e condições estabelecidas no Termo de Referência;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Notificar o Contratado, por escrito, sobre vícios, defeitos ou incorreções verificadas no objeto fornecido, para que seja por ele substituído, reparado ou corrigido, no total ou em parte, às suas expensas;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Acompanhar e fiscalizar a execução do contrato e o cumprimento das obrigações pelo Contratado;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Efetuar o pagamento ao Contratado do valor correspondente à execução do objeto, no prazo, forma e condições estabelecidos no presente Contrato e no Termo de Referência;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Aplicar ao Contratado as sanções previstas na lei e neste Contrato;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Cientificar o órgão de representação judicial da Advocacia-Geral da União para adoção das medidas cabíveis quando do descumprimento de obrigações pelo Contratado;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Administração terá o prazo de</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30 dias</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a contar da data do protocolo do requerimento para decidir, admitida a prorrogação motivada, por igual período.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Responder eventuais pedidos de reestabelecimento do equilíbrio econômico-financeiro feitos pelo contratado no prazo máximo de </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60 dias.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bookmarkStart w:id="4" w:name="_heading=h.2et92p0"/>
      <w:bookmarkEnd w:id="4"/>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Notificar os emitentes das garantias quanto ao início de processo administrativo para apuração de descumprimento de cláusulas contratuais.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Comunicar o Contratado na hipótese de posterior alteração do projeto pelo Contratante, no caso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"art93§2"</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do art. 93, §2º,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NONA - OBRIGAÇÕES DO CONTRATADO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XIV, XVI e XVII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(SUPRESSÃO)</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color w:val="000000"/>
          <w:position w:val="0"/>
          <w:sz w:val="20"/>
          <w:sz w:val="20"/>
          <w:szCs w:val="20"/>
          <w:u w:val="none"/>
          <w:shd w:fill="auto" w:val="clear"/>
          <w:vertAlign w:val="baseline"/>
        </w:rPr>
        <w:t>Manter preposto aceito pela Administração no local do serviço para representá-lo na execução do contrato</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(SUPRESSÃO) </w:t>
      </w:r>
      <w:r>
        <w:rPr>
          <w:rFonts w:eastAsia="Arial" w:cs="Arial" w:ascii="Arial" w:hAnsi="Arial"/>
          <w:b w:val="false"/>
          <w:i w:val="false"/>
          <w:caps w:val="false"/>
          <w:smallCaps w:val="false"/>
          <w:strike/>
          <w:color w:val="000000"/>
          <w:position w:val="0"/>
          <w:sz w:val="20"/>
          <w:sz w:val="20"/>
          <w:szCs w:val="20"/>
          <w:u w:val="none"/>
          <w:shd w:fill="auto" w:val="clear"/>
          <w:vertAlign w:val="baseline"/>
        </w:rPr>
        <w:t>A indicação ou a manutenção do preposto da empresa poderá ser recusada pelo órgão ou entidade, desde que devidamente justificada, devendo a empresa designar outro para o exercício da atividade</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Atender às determinações regulares emitidas pelo fiscal do contrato ou autoridade superior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"art137"</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137, II</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e prestar todo esclarecimento ou informação por eles solicitados;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Responsabilizar-se pelos vícios e danos decorrentes da execução do objeto, de acordo com o </w:t>
      </w:r>
      <w:hyperlink r:id="rId3">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Código de Defesa do Consumidor (Lei nº 8.078, de 1990</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"art48"</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48, parágrafo único,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Comunicar ao Fiscal do contrato, no prazo de 24 (vinte e quatro) horas, qualquer ocorrência anormal ou acidente que se verifique no local dos serviços.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Prestar todo esclarecimento ou informação solicitada pelo Contratante ou por seus prepostos, garantindo-lhes o acesso, a qualquer tempo, ao local dos trabalhos, bem como aos documentos relativos à execução do empreendimento.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Paralisar, por determinação do Contratante, qualquer atividade que não esteja sendo executada de acordo com a boa técnica ou que ponha em risco a segurança de pessoas ou bens de terceiros.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Promover a guarda, manutenção e vigilância de materiais, ferramentas, e tudo o que for necessário à execução do objeto, durante a vigência do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Submeter previamente, por escrito, ao Contratante, para análise e aprovação, quaisquer mudanças nos métodos executivos que fujam às especificações do memorial descritivo ou instrumento congênere.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Manter durante toda a vigência do contrato, em compatibilidade com as obrigações assumidas, todas as condições exigidas para habilitação na licitação;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"art116"</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116</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Comprovar a reserva de cargos a que se refere a cláusula acima, no prazo fixado pelo fiscal do contrato, com a indicação dos empregados que preencheram as referidas vagas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"art116"</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116, parágrafo único</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Guardar sigilo sobre todas as informações obtidas em decorrência do cumprimento do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"art124"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124, II, d,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Cumprir, além dos postulados legais vigentes de âmbito federal, estadual ou municipal, as normas de segurança do Contratante;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Realizar os serviços no seguinte local:</w:t>
      </w:r>
    </w:p>
    <w:p>
      <w:pPr>
        <w:pStyle w:val="Normal1"/>
        <w:keepNext w:val="false"/>
        <w:keepLines w:val="false"/>
        <w:pageBreakBefore w:val="false"/>
        <w:widowControl/>
        <w:pBdr/>
        <w:shd w:val="clear" w:fill="auto"/>
        <w:spacing w:lineRule="auto" w:line="276" w:before="120" w:after="120"/>
        <w:ind w:left="0" w:right="0" w:hanging="0"/>
        <w:jc w:val="both"/>
        <w:rPr>
          <w:rFonts w:ascii="Arial" w:hAnsi="Arial" w:eastAsia="Arial" w:cs="Arial"/>
          <w:b/>
          <w:b/>
          <w:i/>
          <w:i/>
          <w:caps w:val="false"/>
          <w:smallCaps w:val="false"/>
          <w:strike w:val="false"/>
          <w:dstrike w:val="false"/>
          <w:color w:val="FF0000"/>
          <w:position w:val="0"/>
          <w:sz w:val="20"/>
          <w:sz w:val="20"/>
          <w:szCs w:val="20"/>
          <w:highlight w:val="white"/>
          <w:u w:val="single"/>
          <w:vertAlign w:val="baseline"/>
        </w:rPr>
      </w:pPr>
      <w:r>
        <w:rPr>
          <w:rFonts w:eastAsia="Arial" w:cs="Arial" w:ascii="Arial" w:hAnsi="Arial"/>
          <w:b/>
          <w:i/>
          <w:caps w:val="false"/>
          <w:smallCaps w:val="false"/>
          <w:strike w:val="false"/>
          <w:dstrike w:val="false"/>
          <w:color w:val="FF0000"/>
          <w:position w:val="0"/>
          <w:sz w:val="20"/>
          <w:sz w:val="20"/>
          <w:szCs w:val="20"/>
          <w:highlight w:val="white"/>
          <w:u w:val="single"/>
          <w:vertAlign w:val="baseline"/>
        </w:rPr>
        <w:t>Rua Nelsí Ribas Fritsch, nº 1111</w:t>
      </w:r>
    </w:p>
    <w:p>
      <w:pPr>
        <w:pStyle w:val="Normal1"/>
        <w:keepNext w:val="false"/>
        <w:keepLines w:val="false"/>
        <w:pageBreakBefore w:val="false"/>
        <w:widowControl/>
        <w:pBdr/>
        <w:shd w:val="clear" w:fill="auto"/>
        <w:spacing w:lineRule="auto" w:line="276" w:before="120" w:after="120"/>
        <w:ind w:left="0" w:right="0" w:hanging="0"/>
        <w:jc w:val="both"/>
        <w:rPr>
          <w:rFonts w:ascii="Arial" w:hAnsi="Arial" w:eastAsia="Arial" w:cs="Arial"/>
          <w:b/>
          <w:b/>
          <w:i/>
          <w:i/>
          <w:caps w:val="false"/>
          <w:smallCaps w:val="false"/>
          <w:strike w:val="false"/>
          <w:dstrike w:val="false"/>
          <w:color w:val="FF0000"/>
          <w:position w:val="0"/>
          <w:sz w:val="20"/>
          <w:sz w:val="20"/>
          <w:szCs w:val="20"/>
          <w:highlight w:val="white"/>
          <w:u w:val="single"/>
          <w:vertAlign w:val="baseline"/>
        </w:rPr>
      </w:pPr>
      <w:r>
        <w:rPr>
          <w:rFonts w:eastAsia="Arial" w:cs="Arial" w:ascii="Arial" w:hAnsi="Arial"/>
          <w:b/>
          <w:i/>
          <w:caps w:val="false"/>
          <w:smallCaps w:val="false"/>
          <w:strike w:val="false"/>
          <w:dstrike w:val="false"/>
          <w:color w:val="FF0000"/>
          <w:position w:val="0"/>
          <w:sz w:val="20"/>
          <w:sz w:val="20"/>
          <w:szCs w:val="20"/>
          <w:highlight w:val="white"/>
          <w:u w:val="single"/>
          <w:vertAlign w:val="baseline"/>
        </w:rPr>
        <w:t>Bairro Esperança</w:t>
      </w:r>
    </w:p>
    <w:p>
      <w:pPr>
        <w:pStyle w:val="Normal1"/>
        <w:keepNext w:val="false"/>
        <w:keepLines w:val="false"/>
        <w:pageBreakBefore w:val="false"/>
        <w:widowControl/>
        <w:pBdr/>
        <w:shd w:val="clear" w:fill="auto"/>
        <w:spacing w:lineRule="auto" w:line="276" w:before="120" w:after="120"/>
        <w:ind w:left="0" w:right="0" w:hanging="0"/>
        <w:jc w:val="both"/>
        <w:rPr>
          <w:rFonts w:ascii="Arial" w:hAnsi="Arial" w:eastAsia="Arial" w:cs="Arial"/>
          <w:b/>
          <w:b/>
          <w:i/>
          <w:i/>
          <w:caps w:val="false"/>
          <w:smallCaps w:val="false"/>
          <w:strike w:val="false"/>
          <w:dstrike w:val="false"/>
          <w:color w:val="FF0000"/>
          <w:position w:val="0"/>
          <w:sz w:val="20"/>
          <w:sz w:val="20"/>
          <w:szCs w:val="20"/>
          <w:highlight w:val="white"/>
          <w:u w:val="single"/>
          <w:vertAlign w:val="baseline"/>
        </w:rPr>
      </w:pPr>
      <w:r>
        <w:rPr>
          <w:rFonts w:eastAsia="Arial" w:cs="Arial" w:ascii="Arial" w:hAnsi="Arial"/>
          <w:b/>
          <w:i/>
          <w:caps w:val="false"/>
          <w:smallCaps w:val="false"/>
          <w:strike w:val="false"/>
          <w:dstrike w:val="false"/>
          <w:color w:val="FF0000"/>
          <w:position w:val="0"/>
          <w:sz w:val="20"/>
          <w:sz w:val="20"/>
          <w:szCs w:val="20"/>
          <w:highlight w:val="white"/>
          <w:u w:val="single"/>
          <w:vertAlign w:val="baseline"/>
        </w:rPr>
        <w:t>Ibirubá / RS – CEP 98.200-000</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técnico deverá se deslocar ao local da </w:t>
      </w:r>
      <w:r>
        <w:rPr>
          <w:rFonts w:eastAsia="Arial" w:cs="Arial" w:ascii="Arial" w:hAnsi="Arial"/>
          <w:i/>
          <w:color w:val="FF0000"/>
          <w:sz w:val="20"/>
          <w:szCs w:val="20"/>
        </w:rPr>
        <w:t>prestação do serviço.</w:t>
      </w:r>
      <w:sdt>
        <w:sdtPr/>
        <w:sdtContent>
          <w:r>
            <w:rPr>
              <w:rFonts w:eastAsia="Arial" w:cs="Arial" w:ascii="Arial" w:hAnsi="Arial"/>
              <w:i/>
              <w:color w:val="FF0000"/>
              <w:sz w:val="20"/>
              <w:szCs w:val="20"/>
            </w:rPr>
          </w:r>
          <w:r>
            <w:rPr>
              <w:rFonts w:eastAsia="Arial" w:cs="Arial" w:ascii="Arial" w:hAnsi="Arial"/>
              <w:i/>
              <w:color w:val="FF0000"/>
              <w:sz w:val="20"/>
              <w:szCs w:val="20"/>
            </w:rPr>
          </w:r>
          <w:sdt>
            <w:sdtPr/>
            <w:sdtContent>
              <w:r>
                <w:rPr>
                  <w:rFonts w:eastAsia="Arial" w:cs="Arial" w:ascii="Arial" w:hAnsi="Arial"/>
                  <w:i/>
                  <w:color w:val="FF0000"/>
                  <w:sz w:val="20"/>
                  <w:szCs w:val="20"/>
                </w:rPr>
              </w:r>
            </w:sdtContent>
          </w:sdt>
          <w:r>
            <w:rPr>
              <w:rFonts w:eastAsia="Arial" w:cs="Arial" w:ascii="Arial" w:hAnsi="Arial"/>
              <w:i/>
              <w:color w:val="FF0000"/>
              <w:sz w:val="20"/>
              <w:szCs w:val="20"/>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u w:val="none"/>
          <w:shd w:fill="auto" w:val="clear"/>
          <w:vertAlign w:val="baseline"/>
        </w:rPr>
        <w:t>salvo se o contratado tiver unidade de prestação de serviços em distância de [....] (inserir distância conforme avaliação técnica) do local demandado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Realizar a transição contratual com transferência de conhecimento, tecnologia e técnicas empregadas, sem perda de informações, podendo exigir, inclusive, a capacitação dos técnicos do contratante ou da nova empresa que continuará a execução dos serviços</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Ceder ao Contratante todos os direitos patrimoniais relativos ao objeto contratado, o qual poderá ser livremente utilizado e/ou alterado em outras ocasiões, sem necessidade de nova autorização do Contratado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FF0000"/>
          <w:position w:val="0"/>
          <w:sz w:val="20"/>
          <w:sz w:val="20"/>
          <w:szCs w:val="20"/>
          <w:u w:val="none"/>
          <w:shd w:fill="auto" w:val="clear"/>
          <w:vertAlign w:val="baseline"/>
        </w:rPr>
        <w:t>CLÁUSULA DÉCIMA- OBRIGAÇÕES PERTINENTES À LGPD</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As partes deverão cumprir a </w:t>
      </w:r>
      <w:hyperlink r:id="rId4">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Lei nº 13.709, de 14 de agosto de 2018 (LGPD)</w:t>
        </w:r>
      </w:hyperlink>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Os dados obtidos somente poderão ser utilizados para as finalidades que justificaram seu acesso e de acordo com a boa-fé e com os princípios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"https://www.planalto.gov.br/ccivil_03/_ato2015-2018/2018/lei/l13709.htm" \l "art6"</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6º da LGPD</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É vedado o compartilhamento com terceiros dos dados obtidos fora das hipóteses permitidas em Lei.</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Administração deverá ser informada no prazo de 5 (cinco) dias úteis sobre todos os contratos de suboperação firmados ou que venham a ser celebrados pelo Contratado.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Terminado o tratamento dos dados nos termos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"https://www.planalto.gov.br/ccivil_03/_ato2015-2018/2018/lei/l13709.htm" \l "art15"</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15 da LGPD</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é dever do contratado eliminá-los, com exceção das hipóteses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"https://www.planalto.gov.br/ccivil_03/_ato2015-2018/2018/lei/l13709.htm" \l "art16"</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16 da LGPD</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incluindo aquelas em que houver necessidade de guarda de documentação para fins de comprovação do cumprimento de obrigações legais ou contratuais e somente enquanto não prescritas essas obrigações.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É dever do contratado orientar e treinar seus empregados sobre os deveres, requisitos e responsabilidades decorrentes da LGPD.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Contratado deverá exigir de suboperadores e subcontratados o cumprimento dos deveres da presente cláusula, permanecendo integralmente responsável por garantir sua observância.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Contratante poderá realizar diligência para aferir o cumprimento dessa cláusula, devendo o Contratado atender prontamente eventuais pedidos de comprovação formulados.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Contratado deverá prestar, no prazo fixado pelo Contratante, prorrogável justificadamente, quaisquer informações acerca dos dados pessoais para cumprimento da LGPD, inclusive quanto a eventual descarte realizado.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LGPD, art. 37</w:t>
        </w:r>
      </w:hyperlink>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com cada acesso, data, horário e registro da finalidade, para efeito de responsabilização, em caso de eventuais omissões, desvios ou abusos.</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Os referidos bancos de dados devem ser desenvolvidos em formato interoperável, a fim de garantir a reutilização desses dados pela Administração nas hipóteses previstas na LGPD.</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contrato está sujeito a ser alterado nos procedimentos pertinentes ao tratamento de dados pessoais, quando indicado pela autoridade competente, em especial a ANPD por meio de opiniões técnicas ou recomendações, editadas na forma da LGPD.</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Os contratos e convênios de que trata 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"https://www.planalto.gov.br/ccivil_03/_ato2015-2018/2018/lei/l13709.htm" \l "art26§1"</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 1º do art. 26 da LGPD</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deverão ser comunicados à autoridade nacional.</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PRIMEIRA – GARANTIA DE EXECUÇÃO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XII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i/>
          <w:caps w:val="false"/>
          <w:smallCaps w:val="false"/>
          <w:strik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Não haverá exigência de garantia contratual da execução.</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contratação conta com garantia de execução, nos moldes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"http://www.planalto.gov.br/ccivil_03/_ato2019-2022/2021/lei/L14133.htm" \l "art96"</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96 da Lei nº 14.133, de 2021</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na modalidade XXXXXX</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em valor correspondente a 5% (cinco por cento) do valor total do contrato.</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i/>
          <w:caps w:val="false"/>
          <w:smallCaps w:val="false"/>
          <w:strik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A contratação conta com garantia de execução do contrato, nos moldes do </w:t>
      </w:r>
      <w:r>
        <w:fldChar w:fldCharType="begin"/>
      </w:r>
      <w:r>
        <w:rPr>
          <w:smallCaps w:val="false"/>
          <w:caps w:val="false"/>
          <w:strike/>
          <w:vertAlign w:val="baseline"/>
          <w:position w:val="0"/>
          <w:sz w:val="20"/>
          <w:sz w:val="20"/>
          <w:i/>
          <w:u w:val="single"/>
          <w:b w:val="false"/>
          <w:shd w:fill="auto" w:val="clear"/>
          <w:szCs w:val="20"/>
          <w:rFonts w:eastAsia="Arial" w:cs="Arial" w:ascii="Arial" w:hAnsi="Arial"/>
          <w:color w:val="0000FF"/>
        </w:rPr>
        <w:instrText xml:space="preserve"> HYPERLINK "http://www.planalto.gov.br/ccivil_03/_ato2019-2022/2021/lei/L14133.htm" \l "art96"</w:instrText>
      </w:r>
      <w:r>
        <w:rPr>
          <w:smallCaps w:val="false"/>
          <w:caps w:val="false"/>
          <w:strik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color w:val="0000FF"/>
          <w:position w:val="0"/>
          <w:sz w:val="20"/>
          <w:sz w:val="20"/>
          <w:szCs w:val="20"/>
          <w:u w:val="single"/>
          <w:shd w:fill="auto" w:val="clear"/>
          <w:vertAlign w:val="baseline"/>
        </w:rPr>
        <w:t>art. 96</w:t>
      </w:r>
      <w:r>
        <w:rPr>
          <w:smallCaps w:val="false"/>
          <w:caps w:val="false"/>
          <w:strik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combinado com </w:t>
      </w:r>
      <w:r>
        <w:fldChar w:fldCharType="begin"/>
      </w:r>
      <w:r>
        <w:rPr>
          <w:smallCaps w:val="false"/>
          <w:caps w:val="false"/>
          <w:strike/>
          <w:vertAlign w:val="baseline"/>
          <w:position w:val="0"/>
          <w:sz w:val="20"/>
          <w:sz w:val="20"/>
          <w:i/>
          <w:u w:val="single"/>
          <w:b w:val="false"/>
          <w:shd w:fill="auto" w:val="clear"/>
          <w:szCs w:val="20"/>
          <w:rFonts w:eastAsia="Arial" w:cs="Arial" w:ascii="Arial" w:hAnsi="Arial"/>
          <w:color w:val="0000FF"/>
        </w:rPr>
        <w:instrText xml:space="preserve"> HYPERLINK "http://www.planalto.gov.br/ccivil_03/_ato2019-2022/2021/lei/L14133.htm" \l "art101"</w:instrText>
      </w:r>
      <w:r>
        <w:rPr>
          <w:smallCaps w:val="false"/>
          <w:caps w:val="false"/>
          <w:strik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color w:val="0000FF"/>
          <w:position w:val="0"/>
          <w:sz w:val="20"/>
          <w:sz w:val="20"/>
          <w:szCs w:val="20"/>
          <w:u w:val="single"/>
          <w:shd w:fill="auto" w:val="clear"/>
          <w:vertAlign w:val="baseline"/>
        </w:rPr>
        <w:t>art. 101, ambos da Lei nº 14.133, de 2021</w:t>
      </w:r>
      <w:r>
        <w:rPr>
          <w:smallCaps w:val="false"/>
          <w:caps w:val="false"/>
          <w:strik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color w:val="0000FF"/>
          <w:position w:val="0"/>
          <w:sz w:val="20"/>
          <w:sz w:val="20"/>
          <w:szCs w:val="20"/>
          <w:u w:val="single"/>
          <w:shd w:fill="auto" w:val="clear"/>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na modalidade XXXXXX</w:t>
      </w:r>
      <w:r>
        <w:rPr>
          <w:rFonts w:eastAsia="Arial" w:cs="Arial" w:ascii="Arial" w:hAnsi="Arial"/>
          <w:b w:val="false"/>
          <w:i/>
          <w:caps w:val="false"/>
          <w:smallCaps w:val="false"/>
          <w:strike/>
          <w:color w:val="FF0000"/>
          <w:position w:val="0"/>
          <w:sz w:val="20"/>
          <w:sz w:val="20"/>
          <w:szCs w:val="20"/>
          <w:u w:val="none"/>
          <w:shd w:fill="auto" w:val="clear"/>
          <w:vertAlign w:val="baseline"/>
        </w:rPr>
        <w:t>, em valor correspondente a X% (XXXX por cento) do valor total/anual do contrato, acrescido do valor dos bens abaixo arrolados, dos quais o contratado será depositário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u w:val="none"/>
          <w:shd w:fill="auto" w:val="clear"/>
          <w:vertAlign w:val="baseline"/>
        </w:rPr>
        <w:t>BEM 1.............. Valor</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BEM 2 .............Valor </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u w:val="none"/>
          <w:shd w:fill="auto" w:val="clear"/>
          <w:vertAlign w:val="baseline"/>
        </w:rPr>
        <w:t>TOTAL ............. Valor total</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highlight w:val="yellow"/>
          <w:u w:val="single"/>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highlight w:val="yellow"/>
          <w:u w:val="none"/>
          <w:vertAlign w:val="baseline"/>
        </w:rPr>
      </w:pPr>
      <w:r>
        <w:rPr>
          <w:rFonts w:eastAsia="Arial" w:cs="Arial" w:ascii="Arial" w:hAnsi="Arial"/>
          <w:b/>
          <w:i/>
          <w:caps w:val="false"/>
          <w:smallCaps w:val="false"/>
          <w:strike w:val="false"/>
          <w:dstrike w:val="false"/>
          <w:color w:val="FF0000"/>
          <w:position w:val="0"/>
          <w:sz w:val="20"/>
          <w:sz w:val="20"/>
          <w:szCs w:val="20"/>
          <w:highlight w:val="yellow"/>
          <w:u w:val="none"/>
          <w:vertAlign w:val="baseline"/>
        </w:rPr>
        <w:t xml:space="preserve">(SUPRESSÃO) </w:t>
      </w:r>
      <w:r>
        <w:rPr>
          <w:rFonts w:eastAsia="Arial" w:cs="Arial" w:ascii="Arial" w:hAnsi="Arial"/>
          <w:b w:val="false"/>
          <w:i/>
          <w:caps w:val="false"/>
          <w:smallCaps w:val="false"/>
          <w:strike/>
          <w:color w:val="FF0000"/>
          <w:position w:val="0"/>
          <w:sz w:val="20"/>
          <w:sz w:val="20"/>
          <w:szCs w:val="20"/>
          <w:highlight w:val="yellow"/>
          <w:u w:val="none"/>
          <w:vertAlign w:val="baseline"/>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highlight w:val="yellow"/>
          <w:u w:val="none"/>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(SUPRESSÃO)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Pr>
          <w:rFonts w:eastAsia="Arial" w:cs="Arial" w:ascii="Arial" w:hAnsi="Arial"/>
          <w:b w:val="false"/>
          <w:i w:val="false"/>
          <w:caps w:val="false"/>
          <w:smallCaps w:val="false"/>
          <w:strike/>
          <w:color w:val="FF0000"/>
          <w:position w:val="0"/>
          <w:sz w:val="20"/>
          <w:sz w:val="20"/>
          <w:szCs w:val="20"/>
          <w:highlight w:val="yellow"/>
          <w:u w:val="none"/>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acrescido do valor dos bens abaixo arrolados, dos quais o contratado será depositário:</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BEM 1.............. Valor</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BEM 2 .............Valor</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 xml:space="preserve"> </w:t>
      </w:r>
      <w:r>
        <w:rPr>
          <w:rFonts w:eastAsia="Arial" w:cs="Arial" w:ascii="Arial" w:hAnsi="Arial"/>
          <w:b w:val="false"/>
          <w:i/>
          <w:caps w:val="false"/>
          <w:smallCaps w:val="false"/>
          <w:strike/>
          <w:color w:val="FF0000"/>
          <w:position w:val="0"/>
          <w:sz w:val="20"/>
          <w:sz w:val="20"/>
          <w:szCs w:val="20"/>
          <w:highlight w:val="yellow"/>
          <w:u w:val="none"/>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val="false"/>
          <w:i/>
          <w:caps w:val="false"/>
          <w:smallCaps w:val="false"/>
          <w:strike/>
          <w:color w:val="FF0000"/>
          <w:position w:val="0"/>
          <w:sz w:val="20"/>
          <w:sz w:val="20"/>
          <w:szCs w:val="20"/>
          <w:highlight w:val="yellow"/>
          <w:u w:val="none"/>
          <w:vertAlign w:val="baseline"/>
        </w:rPr>
        <w:t>TOTAL ............. Valor total</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highlight w:val="yellow"/>
          <w:u w:val="none"/>
          <w:vertAlign w:val="baseline"/>
        </w:rPr>
      </w:pP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A apólice do seguro garantia deverá acompanhar as modificações referentes à vigência do contrato principal mediante a emissão do respectivo endosso pela seguradora.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Será permitida a substituição da apólice de seguro-garantia na data de renovação ou de aniversário, desde que mantidas as condições e coberturas da apólice vigente e nenhum período fique descoberto, ressalvado o disposto no item 11.9 deste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bookmarkStart w:id="5" w:name="_heading=h.tyjcwt"/>
      <w:bookmarkEnd w:id="5"/>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Na hipótese de suspensão do contrato por ordem ou inadimplemento da Administração, o contratado ficará desobrigado de renovar a garantia ou de endossar a apólice de seguro até a ordem de reinício da execução ou o adimplemento pela Administração.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bookmarkStart w:id="6" w:name="_heading=h.3dy6vkm"/>
      <w:bookmarkEnd w:id="6"/>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garantia assegurará, qualquer que seja a modalidade escolhida, o pagamento de: </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prejuízos advindos do não cumprimento do objeto do contrato e do não adimplemento das demais obrigações nele previstas;</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multas moratórias e punitivas aplicadas pela Administração à contratada; e  </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obrigações trabalhistas e previdenciárias de qualquer natureza e para com o FGTS, não adimplidas pelo contratado, quando couber.</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modalidade seguro-garantia somente será aceita se contemplar todos os eventos indicados no item </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11.10</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observada a legislação que rege a matéria.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A garantia em dinheiro deverá ser efetuada em favor do contratante, em conta específica na Caixa Econômica Federal, com correção monetária.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"https://www.planalto.gov.br/ccivil_03/leis/2002/l10406compilada.htm" \l "art827"</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artigo 827 do Código Civil.</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No caso de alteração do valor do contrato, ou prorrogação de sua vigência, a garantia deverá ser ajustada ou renovada, seguindo os mesmos parâmetros utilizados quando da contratação.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Se o valor da garantia for utilizado total ou parcialmente em pagamento de qualquer obrigação, o Contratado obriga-se a fazer a respectiva reposição no prazo máximo de </w:t>
      </w:r>
      <w:r>
        <w:rPr>
          <w:rFonts w:eastAsia="Arial" w:cs="Arial" w:ascii="Arial" w:hAnsi="Arial"/>
          <w:i/>
          <w:color w:val="FF0000"/>
          <w:sz w:val="20"/>
          <w:szCs w:val="20"/>
        </w:rPr>
        <w:t>15</w:t>
      </w:r>
      <w:sdt>
        <w:sdtPr/>
        <w:sdtContent>
          <w:r>
            <w:rPr>
              <w:rFonts w:eastAsia="Arial" w:cs="Arial" w:ascii="Arial" w:hAnsi="Arial"/>
              <w:i/>
              <w:color w:val="FF0000"/>
              <w:sz w:val="20"/>
              <w:szCs w:val="20"/>
            </w:rPr>
          </w:r>
          <w:r>
            <w:rPr>
              <w:rFonts w:eastAsia="Arial" w:cs="Arial" w:ascii="Arial" w:hAnsi="Arial"/>
              <w:i/>
              <w:color w:val="FF0000"/>
              <w:sz w:val="20"/>
              <w:szCs w:val="20"/>
            </w:rPr>
          </w:r>
          <w:sdt>
            <w:sdtPr/>
            <w:sdtContent>
              <w:r>
                <w:rPr>
                  <w:rFonts w:eastAsia="Arial" w:cs="Arial" w:ascii="Arial" w:hAnsi="Arial"/>
                  <w:i/>
                  <w:color w:val="FF0000"/>
                  <w:sz w:val="20"/>
                  <w:szCs w:val="20"/>
                </w:rPr>
              </w:r>
            </w:sdtContent>
          </w:sdt>
          <w:r>
            <w:rPr>
              <w:rFonts w:eastAsia="Arial" w:cs="Arial" w:ascii="Arial" w:hAnsi="Arial"/>
              <w:i/>
              <w:color w:val="FF0000"/>
              <w:sz w:val="20"/>
              <w:szCs w:val="20"/>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w:t>
      </w:r>
      <w:r>
        <w:rPr>
          <w:rFonts w:eastAsia="Arial" w:cs="Arial" w:ascii="Arial" w:hAnsi="Arial"/>
          <w:i/>
          <w:color w:val="FF0000"/>
          <w:sz w:val="20"/>
          <w:szCs w:val="20"/>
        </w:rPr>
        <w:t>quinze</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dias úteis, contados da data em que for notificada.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Contratante executará a garantia na forma prevista na legislação que rege a matéria.</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emitente da garantia ofertada pelo contratado deverá ser notificado pelo contratante quanto ao início de processo administrativo para apuração de descumprimento de cláusulas contratuais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"http://www.planalto.gov.br/ccivil_03/_ato2019-2022/2021/lei/L14133.htm" \l "art137§4"</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137, § 4º, da Lei n.º 14.133, de 2021</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instrText xml:space="preserve"> HYPERLINK "https://www.in.gov.br/en/web/dou/-/circular-susep-n-662-de-11-de-abril-de-2022-392772088" \l "art20"</w:instrTex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separate"/>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art. 20 da Circular Susep n° 662, de 11 de abril de 2022</w:t>
      </w:r>
      <w:r>
        <w:rPr>
          <w:smallCaps w:val="false"/>
          <w:caps w:val="false"/>
          <w:dstrike w:val="false"/>
          <w:strike w:val="false"/>
          <w:vertAlign w:val="baseline"/>
          <w:position w:val="0"/>
          <w:sz w:val="20"/>
          <w:sz w:val="20"/>
          <w:i/>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highlight w:val="yellow"/>
          <w:u w:val="none"/>
          <w:vertAlign w:val="baseline"/>
        </w:rPr>
      </w:pP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A garantia somente será liberada ou restituída após a fiel execução do contrato ou após a sua extinção por culpa exclusiva da Administração e, quando em dinheiro, será atualizada monetariamente.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garantidor não é parte para figurar em processo administrativo instaurado pelo contratante com o objetivo de apurar prejuízos e/ou aplicar sanções à contratada.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O contratado autoriza o contratante a reter, a qualquer tempo, a garantia, na forma prevista neste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garantia de execução é independente de eventual garantia do produto </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ou serviço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prevista especificamente no Termo de Referência.</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SEGUNDA – INFRAÇÕES E SANÇÕES ADMINISTRATIVAS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XIV</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Comete infração administrativa, nos termos da </w:t>
      </w:r>
      <w:hyperlink r:id="rId6">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o contratado que:</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1"/>
        <w:numPr>
          <w:ilvl w:val="2"/>
          <w:numId w:val="4"/>
        </w:numPr>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Serão aplicadas ao contratado que incorrer nas infrações acima descritas as seguintes sanções:</w:t>
      </w:r>
    </w:p>
    <w:p>
      <w:pPr>
        <w:pStyle w:val="Normal1"/>
        <w:numPr>
          <w:ilvl w:val="2"/>
          <w:numId w:val="5"/>
        </w:numPr>
        <w:spacing w:lineRule="auto" w:line="276" w:before="120" w:after="0"/>
        <w:ind w:left="284" w:hanging="0"/>
        <w:jc w:val="both"/>
        <w:rPr>
          <w:rFonts w:ascii="Arial" w:hAnsi="Arial" w:eastAsia="Arial" w:cs="Arial"/>
          <w:sz w:val="20"/>
          <w:szCs w:val="20"/>
        </w:rPr>
      </w:pPr>
      <w:bookmarkStart w:id="7" w:name="_heading=h.1t3h5sf"/>
      <w:bookmarkEnd w:id="7"/>
      <w:r>
        <w:rPr>
          <w:rFonts w:eastAsia="Arial" w:cs="Arial" w:ascii="Arial" w:hAnsi="Arial"/>
          <w:b/>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sz w:val="20"/>
          <w:u w:val="single"/>
          <w:szCs w:val="20"/>
          <w:rFonts w:eastAsia="Arial" w:cs="Arial" w:ascii="Arial" w:hAnsi="Arial"/>
          <w:color w:val="0000FF"/>
        </w:rPr>
        <w:instrText xml:space="preserve"> HYPERLINK "http://www.planalto.gov.br/ccivil_03/_ato2019-2022/2021/lei/L14133.htm" \l "art156§2"</w:instrText>
      </w:r>
      <w:r>
        <w:rPr>
          <w:sz w:val="20"/>
          <w:u w:val="single"/>
          <w:szCs w:val="20"/>
          <w:rFonts w:eastAsia="Arial" w:cs="Arial" w:ascii="Arial" w:hAnsi="Arial"/>
          <w:color w:val="0000FF"/>
        </w:rPr>
        <w:fldChar w:fldCharType="separate"/>
      </w:r>
      <w:r>
        <w:rPr>
          <w:rFonts w:eastAsia="Arial" w:cs="Arial" w:ascii="Arial" w:hAnsi="Arial"/>
          <w:color w:val="0000FF"/>
          <w:sz w:val="20"/>
          <w:szCs w:val="20"/>
          <w:u w:val="single"/>
        </w:rPr>
        <w:t xml:space="preserve">art. 156, §2º, da </w:t>
      </w:r>
      <w:r>
        <w:rPr>
          <w:sz w:val="20"/>
          <w:u w:val="single"/>
          <w:szCs w:val="20"/>
          <w:rFonts w:eastAsia="Arial" w:cs="Arial" w:ascii="Arial" w:hAnsi="Arial"/>
          <w:color w:val="0000FF"/>
        </w:rPr>
        <w:fldChar w:fldCharType="end"/>
      </w:r>
      <w:r>
        <w:rPr>
          <w:rFonts w:eastAsia="Arial" w:cs="Arial" w:ascii="Arial" w:hAnsi="Arial"/>
          <w:color w:val="0000FF"/>
          <w:sz w:val="20"/>
          <w:szCs w:val="20"/>
          <w:u w:val="single"/>
        </w:rPr>
        <w:t>Lei nº 14.133, de 2021</w:t>
      </w:r>
      <w:r>
        <w:rPr>
          <w:rFonts w:eastAsia="Arial" w:cs="Arial" w:ascii="Arial" w:hAnsi="Arial"/>
          <w:sz w:val="20"/>
          <w:szCs w:val="20"/>
        </w:rPr>
        <w:t>);</w:t>
      </w:r>
    </w:p>
    <w:p>
      <w:pPr>
        <w:pStyle w:val="Normal1"/>
        <w:numPr>
          <w:ilvl w:val="2"/>
          <w:numId w:val="5"/>
        </w:numPr>
        <w:spacing w:lineRule="auto" w:line="276" w:before="0" w:after="0"/>
        <w:ind w:left="284" w:hanging="0"/>
        <w:jc w:val="both"/>
        <w:rPr>
          <w:rFonts w:ascii="Arial" w:hAnsi="Arial" w:eastAsia="Arial" w:cs="Arial"/>
          <w:sz w:val="20"/>
          <w:szCs w:val="20"/>
        </w:rPr>
      </w:pPr>
      <w:r>
        <w:rPr>
          <w:rFonts w:eastAsia="Arial" w:cs="Arial" w:ascii="Arial" w:hAnsi="Arial"/>
          <w:b/>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sz w:val="20"/>
          <w:u w:val="single"/>
          <w:szCs w:val="20"/>
          <w:rFonts w:eastAsia="Arial" w:cs="Arial" w:ascii="Arial" w:hAnsi="Arial"/>
          <w:color w:val="0000FF"/>
        </w:rPr>
        <w:instrText xml:space="preserve"> HYPERLINK "http://www.planalto.gov.br/ccivil_03/_ato2019-2022/2021/lei/L14133.htm" \l "art156§4"</w:instrText>
      </w:r>
      <w:r>
        <w:rPr>
          <w:sz w:val="20"/>
          <w:u w:val="single"/>
          <w:szCs w:val="20"/>
          <w:rFonts w:eastAsia="Arial" w:cs="Arial" w:ascii="Arial" w:hAnsi="Arial"/>
          <w:color w:val="0000FF"/>
        </w:rPr>
        <w:fldChar w:fldCharType="separate"/>
      </w:r>
      <w:r>
        <w:rPr>
          <w:rFonts w:eastAsia="Arial" w:cs="Arial" w:ascii="Arial" w:hAnsi="Arial"/>
          <w:color w:val="0000FF"/>
          <w:sz w:val="20"/>
          <w:szCs w:val="20"/>
          <w:u w:val="single"/>
        </w:rPr>
        <w:t>art. 156, § 4º, da Lei nº 14.133, de 2021</w:t>
      </w:r>
      <w:r>
        <w:rPr>
          <w:sz w:val="20"/>
          <w:u w:val="single"/>
          <w:szCs w:val="20"/>
          <w:rFonts w:eastAsia="Arial" w:cs="Arial" w:ascii="Arial" w:hAnsi="Arial"/>
          <w:color w:val="0000FF"/>
        </w:rPr>
        <w:fldChar w:fldCharType="end"/>
      </w:r>
      <w:r>
        <w:rPr>
          <w:rFonts w:eastAsia="Arial" w:cs="Arial" w:ascii="Arial" w:hAnsi="Arial"/>
          <w:sz w:val="20"/>
          <w:szCs w:val="20"/>
        </w:rPr>
        <w:t>);</w:t>
      </w:r>
    </w:p>
    <w:p>
      <w:pPr>
        <w:pStyle w:val="Normal1"/>
        <w:numPr>
          <w:ilvl w:val="2"/>
          <w:numId w:val="5"/>
        </w:numPr>
        <w:spacing w:lineRule="auto" w:line="276" w:before="0" w:after="0"/>
        <w:ind w:left="284" w:hanging="0"/>
        <w:jc w:val="both"/>
        <w:rPr>
          <w:rFonts w:ascii="Arial" w:hAnsi="Arial" w:eastAsia="Arial" w:cs="Arial"/>
          <w:sz w:val="20"/>
          <w:szCs w:val="20"/>
        </w:rPr>
      </w:pPr>
      <w:r>
        <w:rPr>
          <w:rFonts w:eastAsia="Arial" w:cs="Arial" w:ascii="Arial" w:hAnsi="Arial"/>
          <w:b/>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sz w:val="20"/>
          <w:u w:val="single"/>
          <w:szCs w:val="20"/>
          <w:rFonts w:eastAsia="Arial" w:cs="Arial" w:ascii="Arial" w:hAnsi="Arial"/>
          <w:color w:val="0000FF"/>
        </w:rPr>
        <w:instrText xml:space="preserve"> HYPERLINK "http://www.planalto.gov.br/ccivil_03/_ato2019-2022/2021/lei/L14133.htm" \l "art156§5"</w:instrText>
      </w:r>
      <w:r>
        <w:rPr>
          <w:sz w:val="20"/>
          <w:u w:val="single"/>
          <w:szCs w:val="20"/>
          <w:rFonts w:eastAsia="Arial" w:cs="Arial" w:ascii="Arial" w:hAnsi="Arial"/>
          <w:color w:val="0000FF"/>
        </w:rPr>
        <w:fldChar w:fldCharType="separate"/>
      </w:r>
      <w:r>
        <w:rPr>
          <w:rFonts w:eastAsia="Arial" w:cs="Arial" w:ascii="Arial" w:hAnsi="Arial"/>
          <w:color w:val="0000FF"/>
          <w:sz w:val="20"/>
          <w:szCs w:val="20"/>
          <w:u w:val="single"/>
        </w:rPr>
        <w:t>art. 156, §5º, da Lei nº 14.133, de 2021</w:t>
      </w:r>
      <w:r>
        <w:rPr>
          <w:sz w:val="20"/>
          <w:u w:val="single"/>
          <w:szCs w:val="20"/>
          <w:rFonts w:eastAsia="Arial" w:cs="Arial" w:ascii="Arial" w:hAnsi="Arial"/>
          <w:color w:val="0000FF"/>
        </w:rPr>
        <w:fldChar w:fldCharType="end"/>
      </w:r>
      <w:r>
        <w:rPr>
          <w:rFonts w:eastAsia="Arial" w:cs="Arial" w:ascii="Arial" w:hAnsi="Arial"/>
          <w:sz w:val="20"/>
          <w:szCs w:val="20"/>
        </w:rPr>
        <w:t>).</w:t>
      </w:r>
    </w:p>
    <w:p>
      <w:pPr>
        <w:pStyle w:val="Normal1"/>
        <w:numPr>
          <w:ilvl w:val="2"/>
          <w:numId w:val="5"/>
        </w:numPr>
        <w:spacing w:lineRule="auto" w:line="276" w:before="0" w:after="0"/>
        <w:ind w:left="284" w:hanging="0"/>
        <w:jc w:val="both"/>
        <w:rPr>
          <w:rFonts w:ascii="Arial" w:hAnsi="Arial" w:eastAsia="Arial" w:cs="Arial"/>
          <w:sz w:val="20"/>
          <w:szCs w:val="20"/>
        </w:rPr>
      </w:pPr>
      <w:r>
        <w:rPr>
          <w:rFonts w:eastAsia="Arial" w:cs="Arial" w:ascii="Arial" w:hAnsi="Arial"/>
          <w:b/>
          <w:sz w:val="20"/>
          <w:szCs w:val="20"/>
        </w:rPr>
        <w:t>Multa:</w:t>
      </w:r>
    </w:p>
    <w:p>
      <w:pPr>
        <w:pStyle w:val="Normal1"/>
        <w:numPr>
          <w:ilvl w:val="3"/>
          <w:numId w:val="5"/>
        </w:numPr>
        <w:spacing w:lineRule="auto" w:line="276" w:before="0" w:after="0"/>
        <w:ind w:left="567" w:hanging="0"/>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color w:val="FF0000"/>
          <w:sz w:val="20"/>
          <w:szCs w:val="20"/>
        </w:rPr>
        <w:t>1</w:t>
      </w:r>
      <w:r>
        <w:rPr>
          <w:rFonts w:eastAsia="Arial" w:cs="Arial" w:ascii="Arial" w:hAnsi="Arial"/>
          <w:sz w:val="20"/>
          <w:szCs w:val="20"/>
        </w:rPr>
        <w:t>% (</w:t>
      </w:r>
      <w:r>
        <w:rPr>
          <w:rFonts w:eastAsia="Arial" w:cs="Arial" w:ascii="Arial" w:hAnsi="Arial"/>
          <w:color w:val="FF0000"/>
          <w:sz w:val="20"/>
          <w:szCs w:val="20"/>
        </w:rPr>
        <w:t>um</w:t>
      </w:r>
      <w:r>
        <w:rPr>
          <w:rFonts w:eastAsia="Arial" w:cs="Arial" w:ascii="Arial" w:hAnsi="Arial"/>
          <w:sz w:val="20"/>
          <w:szCs w:val="20"/>
        </w:rPr>
        <w:t xml:space="preserve"> por cento) por dia de atraso injustificado sobre o valor da parcela inadimplida, até o limite de </w:t>
      </w:r>
      <w:r>
        <w:rPr>
          <w:rFonts w:eastAsia="Arial" w:cs="Arial" w:ascii="Arial" w:hAnsi="Arial"/>
          <w:color w:val="FF0000"/>
          <w:sz w:val="20"/>
          <w:szCs w:val="20"/>
        </w:rPr>
        <w:t>30 (trinta)</w:t>
      </w:r>
      <w:r>
        <w:rPr>
          <w:rFonts w:eastAsia="Arial" w:cs="Arial" w:ascii="Arial" w:hAnsi="Arial"/>
          <w:sz w:val="20"/>
          <w:szCs w:val="20"/>
        </w:rPr>
        <w:t xml:space="preserve"> dias;</w:t>
      </w:r>
    </w:p>
    <w:p>
      <w:pPr>
        <w:pStyle w:val="Normal1"/>
        <w:numPr>
          <w:ilvl w:val="3"/>
          <w:numId w:val="5"/>
        </w:numPr>
        <w:spacing w:lineRule="auto" w:line="276" w:before="0" w:after="0"/>
        <w:ind w:left="567" w:hanging="0"/>
        <w:jc w:val="both"/>
        <w:rPr>
          <w:rFonts w:ascii="Arial" w:hAnsi="Arial" w:eastAsia="Arial" w:cs="Arial"/>
          <w:i/>
          <w:i/>
          <w:color w:val="FF0000"/>
          <w:sz w:val="20"/>
          <w:szCs w:val="20"/>
        </w:rPr>
      </w:pPr>
      <w:r>
        <w:rPr>
          <w:rFonts w:eastAsia="Arial" w:cs="Arial" w:ascii="Arial" w:hAnsi="Arial"/>
          <w:i/>
          <w:color w:val="FF0000"/>
          <w:sz w:val="20"/>
          <w:szCs w:val="20"/>
        </w:rPr>
        <w:t xml:space="preserve">Moratória de </w:t>
      </w:r>
      <w:r>
        <w:rPr>
          <w:rFonts w:eastAsia="Arial" w:cs="Arial" w:ascii="Arial" w:hAnsi="Arial"/>
          <w:i/>
          <w:color w:val="FF0000"/>
          <w:sz w:val="20"/>
          <w:szCs w:val="20"/>
          <w:highlight w:val="yellow"/>
        </w:rPr>
        <w:t>0,5% (cinco décimos por cento) do valor total do contrato por dia de atraso injustificado, até o máximo de 30% (trinta por cento),</w:t>
      </w:r>
      <w:r>
        <w:rPr>
          <w:rFonts w:eastAsia="Arial" w:cs="Arial" w:ascii="Arial" w:hAnsi="Arial"/>
          <w:i/>
          <w:color w:val="FF0000"/>
          <w:sz w:val="20"/>
          <w:szCs w:val="20"/>
        </w:rPr>
        <w:t xml:space="preserve"> pela inobservância do prazo fixado para apresentação, suplementação ou reposição da garantia. </w:t>
      </w:r>
    </w:p>
    <w:p>
      <w:pPr>
        <w:pStyle w:val="Normal1"/>
        <w:numPr>
          <w:ilvl w:val="7"/>
          <w:numId w:val="5"/>
        </w:numPr>
        <w:spacing w:lineRule="auto" w:line="276" w:before="0" w:after="0"/>
        <w:ind w:left="851" w:hanging="0"/>
        <w:jc w:val="both"/>
        <w:rPr>
          <w:rFonts w:ascii="Arial" w:hAnsi="Arial" w:eastAsia="Arial" w:cs="Arial"/>
          <w:i/>
          <w:i/>
          <w:color w:val="FF0000"/>
          <w:sz w:val="20"/>
          <w:szCs w:val="20"/>
        </w:rPr>
      </w:pPr>
      <w:r>
        <w:rPr>
          <w:rFonts w:eastAsia="Arial" w:cs="Arial" w:ascii="Arial" w:hAnsi="Arial"/>
          <w:i/>
          <w:color w:val="FF0000"/>
          <w:sz w:val="20"/>
          <w:szCs w:val="20"/>
        </w:rPr>
        <w:t xml:space="preserve">O atraso superior a 30 (trinta) dias autoriza a Administração a promover a extinção do contrato por descumprimento ou cumprimento irregular de suas cláusulas, conforme dispõe o </w:t>
      </w:r>
      <w:r>
        <w:fldChar w:fldCharType="begin"/>
      </w:r>
      <w:r>
        <w:rPr>
          <w:sz w:val="20"/>
          <w:i/>
          <w:u w:val="single"/>
          <w:szCs w:val="20"/>
          <w:rFonts w:eastAsia="Arial" w:cs="Arial" w:ascii="Arial" w:hAnsi="Arial"/>
          <w:color w:val="0000FF"/>
        </w:rPr>
        <w:instrText xml:space="preserve"> HYPERLINK "http://www.planalto.gov.br/ccivil_03/_ato2019-2022/2021/lei/L14133.htm" \l "art137"</w:instrText>
      </w:r>
      <w:r>
        <w:rPr>
          <w:sz w:val="20"/>
          <w:i/>
          <w:u w:val="single"/>
          <w:szCs w:val="20"/>
          <w:rFonts w:eastAsia="Arial" w:cs="Arial" w:ascii="Arial" w:hAnsi="Arial"/>
          <w:color w:val="0000FF"/>
        </w:rPr>
        <w:fldChar w:fldCharType="separate"/>
      </w:r>
      <w:r>
        <w:rPr>
          <w:rFonts w:eastAsia="Arial" w:cs="Arial" w:ascii="Arial" w:hAnsi="Arial"/>
          <w:i/>
          <w:color w:val="0000FF"/>
          <w:sz w:val="20"/>
          <w:szCs w:val="20"/>
          <w:u w:val="single"/>
        </w:rPr>
        <w:t>inciso I do art. 137 da Lei n. 14.133, de 2021</w:t>
      </w:r>
      <w:r>
        <w:rPr>
          <w:sz w:val="20"/>
          <w:i/>
          <w:u w:val="single"/>
          <w:szCs w:val="20"/>
          <w:rFonts w:eastAsia="Arial" w:cs="Arial" w:ascii="Arial" w:hAnsi="Arial"/>
          <w:color w:val="0000FF"/>
        </w:rPr>
        <w:fldChar w:fldCharType="end"/>
      </w:r>
      <w:r>
        <w:rPr>
          <w:rFonts w:eastAsia="Arial" w:cs="Arial" w:ascii="Arial" w:hAnsi="Arial"/>
          <w:i/>
          <w:color w:val="FF0000"/>
          <w:sz w:val="20"/>
          <w:szCs w:val="20"/>
        </w:rPr>
        <w:t xml:space="preserve">. </w:t>
      </w:r>
    </w:p>
    <w:p>
      <w:pPr>
        <w:pStyle w:val="Normal1"/>
        <w:numPr>
          <w:ilvl w:val="3"/>
          <w:numId w:val="5"/>
        </w:numPr>
        <w:spacing w:lineRule="auto" w:line="276" w:before="0" w:after="0"/>
        <w:ind w:left="567" w:hanging="0"/>
        <w:jc w:val="both"/>
        <w:rPr>
          <w:rFonts w:ascii="Arial" w:hAnsi="Arial" w:eastAsia="Arial" w:cs="Arial"/>
          <w:sz w:val="20"/>
          <w:szCs w:val="20"/>
          <w:highlight w:val="yellow"/>
        </w:rPr>
      </w:pPr>
      <w:sdt>
        <w:sdtPr/>
        <w:sdtContent>
          <w:r>
            <w:rPr/>
          </w:r>
          <w:r>
            <w:rPr/>
          </w:r>
          <w:sdt>
            <w:sdtPr/>
            <w:sdtContent>
              <w:r>
                <w:rPr/>
              </w:r>
            </w:sdtContent>
          </w:sdt>
          <w:r>
            <w:rPr/>
          </w:r>
          <w:sdt>
            <w:sdtPr/>
            <w:sdtContent>
              <w:r>
                <w:rPr/>
              </w:r>
            </w:sdtContent>
          </w:sdt>
          <w:r>
            <w:rPr/>
          </w:r>
          <w:sdt>
            <w:sdtPr/>
            <w:sdtContent>
              <w:r>
                <w:rPr/>
              </w:r>
            </w:sdtContent>
          </w:sdt>
          <w:r>
            <w:rPr/>
          </w:r>
        </w:sdtContent>
      </w:sdt>
      <w:r>
        <w:rPr>
          <w:rFonts w:eastAsia="Arial" w:cs="Arial" w:ascii="Arial" w:hAnsi="Arial"/>
          <w:sz w:val="20"/>
          <w:szCs w:val="20"/>
          <w:highlight w:val="yellow"/>
        </w:rPr>
        <w:t xml:space="preserve"> </w:t>
      </w:r>
      <w:r>
        <w:rPr>
          <w:rFonts w:eastAsia="Arial" w:cs="Arial" w:ascii="Arial" w:hAnsi="Arial"/>
          <w:sz w:val="20"/>
          <w:szCs w:val="20"/>
          <w:highlight w:val="yellow"/>
        </w:rPr>
        <w:t>Compensatória, para as infrações descritas nas alíneas “e” a “h” do subitem 12.1, de 10% a 30% do valor do Contrato.</w:t>
      </w:r>
    </w:p>
    <w:p>
      <w:pPr>
        <w:pStyle w:val="Normal1"/>
        <w:numPr>
          <w:ilvl w:val="3"/>
          <w:numId w:val="5"/>
        </w:numPr>
        <w:spacing w:lineRule="auto" w:line="276" w:before="0" w:after="0"/>
        <w:ind w:left="567" w:hanging="0"/>
        <w:jc w:val="both"/>
        <w:rPr>
          <w:rFonts w:ascii="Arial" w:hAnsi="Arial" w:eastAsia="Arial" w:cs="Arial"/>
          <w:sz w:val="20"/>
          <w:szCs w:val="20"/>
          <w:highlight w:val="yellow"/>
        </w:rPr>
      </w:pPr>
      <w:r>
        <w:rPr>
          <w:rFonts w:eastAsia="Arial" w:cs="Arial" w:ascii="Arial" w:hAnsi="Arial"/>
          <w:sz w:val="20"/>
          <w:szCs w:val="20"/>
          <w:highlight w:val="yellow"/>
        </w:rPr>
        <w:t xml:space="preserve">Compensatória, para a inexecução total do contrato prevista na alínea “c” do subitem 12.1, de 5% a 25%  do valor do Contrato. </w:t>
      </w:r>
    </w:p>
    <w:p>
      <w:pPr>
        <w:pStyle w:val="Normal1"/>
        <w:numPr>
          <w:ilvl w:val="3"/>
          <w:numId w:val="5"/>
        </w:numPr>
        <w:spacing w:lineRule="auto" w:line="276" w:before="0" w:after="0"/>
        <w:ind w:left="567" w:hanging="0"/>
        <w:jc w:val="both"/>
        <w:rPr>
          <w:rFonts w:ascii="Arial" w:hAnsi="Arial" w:eastAsia="Arial" w:cs="Arial"/>
          <w:sz w:val="20"/>
          <w:szCs w:val="20"/>
          <w:highlight w:val="yellow"/>
        </w:rPr>
      </w:pPr>
      <w:sdt>
        <w:sdtPr/>
        <w:sdtContent>
          <w:r>
            <w:rPr/>
          </w:r>
          <w:r>
            <w:rPr/>
          </w:r>
          <w:sdt>
            <w:sdtPr/>
            <w:sdtContent>
              <w:r>
                <w:rPr/>
              </w:r>
            </w:sdtContent>
          </w:sdt>
          <w:r>
            <w:rPr/>
          </w:r>
          <w:sdt>
            <w:sdtPr/>
            <w:sdtContent>
              <w:r>
                <w:rPr/>
              </w:r>
            </w:sdtContent>
          </w:sdt>
          <w:r>
            <w:rPr/>
          </w:r>
        </w:sdtContent>
      </w:sdt>
      <w:r>
        <w:rPr>
          <w:rFonts w:eastAsia="Arial" w:cs="Arial" w:ascii="Arial" w:hAnsi="Arial"/>
          <w:strike/>
          <w:sz w:val="20"/>
          <w:szCs w:val="20"/>
          <w:highlight w:val="yellow"/>
        </w:rPr>
        <w:t>Para infração descrita na alínea “b” do subitem 12.1, a multa será de 5% a 20%  do valor do Contrato</w:t>
      </w:r>
      <w:r>
        <w:rPr>
          <w:rFonts w:eastAsia="Arial" w:cs="Arial" w:ascii="Arial" w:hAnsi="Arial"/>
          <w:sz w:val="20"/>
          <w:szCs w:val="20"/>
          <w:highlight w:val="yellow"/>
        </w:rPr>
        <w:t>.</w:t>
      </w:r>
    </w:p>
    <w:p>
      <w:pPr>
        <w:pStyle w:val="Normal1"/>
        <w:numPr>
          <w:ilvl w:val="3"/>
          <w:numId w:val="5"/>
        </w:numPr>
        <w:spacing w:lineRule="auto" w:line="276" w:before="0" w:after="0"/>
        <w:ind w:left="567" w:hanging="0"/>
        <w:jc w:val="both"/>
        <w:rPr>
          <w:rFonts w:ascii="Arial" w:hAnsi="Arial" w:eastAsia="Arial" w:cs="Arial"/>
          <w:sz w:val="20"/>
          <w:szCs w:val="20"/>
          <w:highlight w:val="yellow"/>
        </w:rPr>
      </w:pPr>
      <w:r>
        <w:rPr>
          <w:rFonts w:eastAsia="Arial" w:cs="Arial" w:ascii="Arial" w:hAnsi="Arial"/>
          <w:sz w:val="20"/>
          <w:szCs w:val="20"/>
          <w:highlight w:val="yellow"/>
        </w:rPr>
        <w:t>Para infrações descritas nas alíneas “b” e “d” do subitem 12.1, a multa será de 5% a 20%  do valor do Contrato.</w:t>
      </w:r>
    </w:p>
    <w:p>
      <w:pPr>
        <w:pStyle w:val="Normal1"/>
        <w:numPr>
          <w:ilvl w:val="3"/>
          <w:numId w:val="5"/>
        </w:numPr>
        <w:spacing w:lineRule="auto" w:line="276" w:before="0" w:after="0"/>
        <w:ind w:left="567" w:hanging="0"/>
        <w:jc w:val="both"/>
        <w:rPr>
          <w:rFonts w:ascii="Arial" w:hAnsi="Arial" w:eastAsia="Arial" w:cs="Arial"/>
          <w:sz w:val="20"/>
          <w:szCs w:val="20"/>
          <w:highlight w:val="yellow"/>
        </w:rPr>
      </w:pPr>
      <w:r>
        <w:rPr>
          <w:rFonts w:eastAsia="Arial" w:cs="Arial" w:ascii="Arial" w:hAnsi="Arial"/>
          <w:sz w:val="20"/>
          <w:szCs w:val="20"/>
          <w:highlight w:val="yellow"/>
        </w:rPr>
        <w:t>Para a infração descrita na alínea “a” do subitem 12.1, a multa será de 2% a 15% do valor do Contrato, ressalvadas as seguintes infrações:</w:t>
      </w:r>
    </w:p>
    <w:p>
      <w:pPr>
        <w:pStyle w:val="Normal1"/>
        <w:spacing w:lineRule="auto" w:line="276" w:before="0" w:after="120"/>
        <w:ind w:left="851" w:hanging="0"/>
        <w:jc w:val="both"/>
        <w:rPr>
          <w:rFonts w:ascii="Arial" w:hAnsi="Arial" w:eastAsia="Arial" w:cs="Arial"/>
          <w:sz w:val="20"/>
          <w:szCs w:val="20"/>
        </w:rPr>
      </w:pPr>
      <w:r>
        <w:rPr>
          <w:rFonts w:eastAsia="Arial" w:cs="Arial" w:ascii="Arial" w:hAnsi="Arial"/>
          <w:i/>
          <w:color w:val="FF0000"/>
          <w:sz w:val="20"/>
          <w:szCs w:val="20"/>
          <w:highlight w:val="yellow"/>
        </w:rPr>
        <w:t>[INDICAR ITENS ESPECÍFICOS DE INEXECUÇÃO PARCIAL QUE JUSTIFIQUEM PENA DIVERSA]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aplicação das sanções previstas neste Contrato não exclui, em hipótese alguma, a obrigação de reparação integral do dano causado ao Contratante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"art156§9"</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156, §9º,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Todas as sanções previstas neste Contrato poderão ser aplicadas cumulativamente com a multa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"art156§7"</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156, §7º,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Antes da aplicação da multa será facultada a defesa do interessado no prazo de 15 (quinze) dias úteis, contado da data de sua intimação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"art157"</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157,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"art156§8"</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156, §8º,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bookmarkStart w:id="8" w:name="_heading=h.4d34og8"/>
      <w:bookmarkEnd w:id="8"/>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Previamente ao encaminhamento à cobrança judicial, a multa poderá ser recolhida administrativamente no prazo máximo de </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30</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(trinta)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dias, a contar da data do recebimento da comunicação enviada pela autoridade competente.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aplicação das sanções realizar-se-á em processo administrativo que assegure o contraditório e a ampla defesa ao Contratado, observando-se o procedimento previsto no </w:t>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 xml:space="preserve">caput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 parágrafos do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"art158"</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158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para as penalidades de impedimento de licitar e contratar e de declaração de inidoneidade para licitar ou contratar.</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Na aplicação das sanções serão considerados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"art156§1"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156, §1º,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numPr>
          <w:ilvl w:val="0"/>
          <w:numId w:val="1"/>
        </w:numPr>
        <w:spacing w:lineRule="auto" w:line="276" w:before="120" w:after="0"/>
        <w:ind w:left="284" w:hanging="0"/>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1"/>
        <w:numPr>
          <w:ilvl w:val="0"/>
          <w:numId w:val="1"/>
        </w:numPr>
        <w:spacing w:lineRule="auto" w:line="276" w:before="0" w:after="0"/>
        <w:ind w:left="284" w:hanging="0"/>
        <w:jc w:val="both"/>
        <w:rPr>
          <w:rFonts w:ascii="Arial" w:hAnsi="Arial" w:eastAsia="Arial" w:cs="Arial"/>
          <w:sz w:val="20"/>
          <w:szCs w:val="20"/>
        </w:rPr>
      </w:pPr>
      <w:r>
        <w:rPr>
          <w:rFonts w:eastAsia="Arial" w:cs="Arial" w:ascii="Arial" w:hAnsi="Arial"/>
          <w:sz w:val="20"/>
          <w:szCs w:val="20"/>
        </w:rPr>
        <w:t>as peculiaridades do caso concreto;</w:t>
      </w:r>
    </w:p>
    <w:p>
      <w:pPr>
        <w:pStyle w:val="Normal1"/>
        <w:numPr>
          <w:ilvl w:val="0"/>
          <w:numId w:val="1"/>
        </w:numPr>
        <w:spacing w:lineRule="auto" w:line="276" w:before="0" w:after="0"/>
        <w:ind w:left="284" w:hanging="0"/>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1"/>
        <w:numPr>
          <w:ilvl w:val="0"/>
          <w:numId w:val="1"/>
        </w:numPr>
        <w:spacing w:lineRule="auto" w:line="276" w:before="0" w:after="0"/>
        <w:ind w:left="284" w:hanging="0"/>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1"/>
        <w:numPr>
          <w:ilvl w:val="0"/>
          <w:numId w:val="1"/>
        </w:numPr>
        <w:spacing w:lineRule="auto" w:line="276" w:before="0" w:after="120"/>
        <w:ind w:left="284" w:hanging="0"/>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atos previstos como infrações administrativas na </w:t>
      </w:r>
      <w:hyperlink r:id="rId7">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ou em outras leis de licitações e contratos da Administração Pública que também sejam tipificados como atos lesivos </w:t>
      </w:r>
      <w:hyperlink r:id="rId8">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na Lei nº 12.846, de 2013</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serão apurados e julgados conjuntamente, nos mesmos autos, observados o rito procedimental e autoridade competente definidos na referida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"art159"</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(art. 159</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"art160"</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160,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Contratante deverá, no prazo máximo de</w:t>
      </w:r>
      <w:r>
        <w:rPr>
          <w:rFonts w:eastAsia="Arial" w:cs="Arial" w:ascii="Arial" w:hAnsi="Arial"/>
          <w:b w:val="false"/>
          <w:i w:val="false"/>
          <w:caps w:val="false"/>
          <w:smallCaps w:val="false"/>
          <w:strike w:val="false"/>
          <w:dstrike w:val="false"/>
          <w:color w:val="00B050"/>
          <w:position w:val="0"/>
          <w:sz w:val="20"/>
          <w:sz w:val="20"/>
          <w:szCs w:val="20"/>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"art161"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161,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As sanções de impedimento de licitar e contratar e declaração de inidoneidade para licitar ou contratar são passíveis de reabilitação na forma do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"art163"</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163 da Lei nº 14.133/21.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Instrução Normativa SEGES/ME nº 26, de 13 de abril de 2022</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TERCEIRA – DA EXTINÇÃO CONTRATUAL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XIX</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(SUPRESSÃO)</w:t>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O contrato </w:t>
      </w:r>
      <w:r>
        <w:rPr>
          <w:rFonts w:eastAsia="Arial" w:cs="Arial" w:ascii="Arial" w:hAnsi="Arial"/>
          <w:b w:val="false"/>
          <w:i/>
          <w:caps w:val="false"/>
          <w:smallCaps w:val="false"/>
          <w:strike/>
          <w:color w:val="FF0000"/>
          <w:position w:val="0"/>
          <w:sz w:val="20"/>
          <w:sz w:val="20"/>
          <w:szCs w:val="20"/>
          <w:highlight w:val="yellow"/>
          <w:u w:val="none"/>
          <w:vertAlign w:val="baseline"/>
        </w:rPr>
        <w:t>será extinto</w:t>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 quando cumpridas as obrigações de ambas as partes, ainda que isso ocorra antes do prazo estipulado para tanto.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Se as obrigações não forem cumpridas no prazo estipulado, a vigência ficará prorrogada até a conclusão do objeto, caso em que deverá a Administração providenciar a readequação do cronograma fixado para o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color w:val="FF0000"/>
          <w:position w:val="0"/>
          <w:sz w:val="20"/>
          <w:sz w:val="20"/>
          <w:szCs w:val="20"/>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Quando a não conclusão do contrato referida no item anterior decorrer de culpa do contratado:</w:t>
      </w:r>
    </w:p>
    <w:p>
      <w:pPr>
        <w:pStyle w:val="Normal1"/>
        <w:keepNext w:val="false"/>
        <w:keepLines w:val="false"/>
        <w:pageBreakBefore w:val="false"/>
        <w:widowControl/>
        <w:numPr>
          <w:ilvl w:val="0"/>
          <w:numId w:val="2"/>
        </w:numPr>
        <w:pBdr/>
        <w:shd w:val="clear" w:fill="auto"/>
        <w:spacing w:lineRule="auto" w:line="276" w:before="120" w:after="0"/>
        <w:ind w:left="284" w:right="0" w:hanging="0"/>
        <w:jc w:val="both"/>
        <w:rPr>
          <w:rFonts w:ascii="Ecofont_Spranq_eco_Sans" w:hAnsi="Ecofont_Spranq_eco_Sans" w:eastAsia="Ecofont_Spranq_eco_Sans" w:cs="Ecofont_Spranq_eco_Sans"/>
          <w:b w:val="false"/>
          <w:b w:val="false"/>
          <w:i w:val="false"/>
          <w:i w:val="false"/>
          <w:caps w:val="false"/>
          <w:smallCaps w:val="false"/>
          <w:strike/>
          <w:color w:val="000000"/>
          <w:position w:val="0"/>
          <w:sz w:val="24"/>
          <w:sz w:val="24"/>
          <w:szCs w:val="24"/>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 xml:space="preserve">ficará ele constituído em mora, sendo-lhe aplicáveis as respectivas sanções administrativas; e  </w:t>
      </w:r>
    </w:p>
    <w:p>
      <w:pPr>
        <w:pStyle w:val="Normal1"/>
        <w:keepNext w:val="false"/>
        <w:keepLines w:val="false"/>
        <w:pageBreakBefore w:val="false"/>
        <w:widowControl/>
        <w:numPr>
          <w:ilvl w:val="0"/>
          <w:numId w:val="2"/>
        </w:numPr>
        <w:pBdr/>
        <w:shd w:val="clear" w:fill="auto"/>
        <w:spacing w:lineRule="auto" w:line="276" w:before="0" w:after="120"/>
        <w:ind w:left="284" w:right="0" w:hanging="0"/>
        <w:jc w:val="both"/>
        <w:rPr>
          <w:rFonts w:ascii="Ecofont_Spranq_eco_Sans" w:hAnsi="Ecofont_Spranq_eco_Sans" w:eastAsia="Ecofont_Spranq_eco_Sans" w:cs="Ecofont_Spranq_eco_Sans"/>
          <w:b w:val="false"/>
          <w:b w:val="false"/>
          <w:i w:val="false"/>
          <w:i w:val="false"/>
          <w:caps w:val="false"/>
          <w:smallCaps w:val="false"/>
          <w:strike/>
          <w:color w:val="000000"/>
          <w:position w:val="0"/>
          <w:sz w:val="24"/>
          <w:sz w:val="24"/>
          <w:szCs w:val="24"/>
          <w:u w:val="none"/>
          <w:shd w:fill="auto" w:val="clear"/>
          <w:vertAlign w:val="baseline"/>
        </w:rPr>
      </w:pPr>
      <w:r>
        <w:rPr>
          <w:rFonts w:eastAsia="Arial" w:cs="Arial" w:ascii="Arial" w:hAnsi="Arial"/>
          <w:b/>
          <w:i/>
          <w:caps w:val="false"/>
          <w:smallCaps w:val="false"/>
          <w:strike w:val="false"/>
          <w:dstrike w:val="false"/>
          <w:color w:val="FF0000"/>
          <w:position w:val="0"/>
          <w:sz w:val="20"/>
          <w:sz w:val="20"/>
          <w:szCs w:val="20"/>
          <w:u w:val="none"/>
          <w:shd w:fill="auto" w:val="clear"/>
          <w:vertAlign w:val="baseline"/>
        </w:rPr>
        <w:t xml:space="preserve">(SUPRESSÃO) </w:t>
      </w:r>
      <w:r>
        <w:rPr>
          <w:rFonts w:eastAsia="Arial" w:cs="Arial" w:ascii="Arial" w:hAnsi="Arial"/>
          <w:b w:val="false"/>
          <w:i/>
          <w:caps w:val="false"/>
          <w:smallCaps w:val="false"/>
          <w:strike/>
          <w:color w:val="FF0000"/>
          <w:position w:val="0"/>
          <w:sz w:val="20"/>
          <w:sz w:val="20"/>
          <w:szCs w:val="20"/>
          <w:u w:val="none"/>
          <w:shd w:fill="auto" w:val="clear"/>
          <w:vertAlign w:val="baseline"/>
        </w:rPr>
        <w:t>poderá a Administração optar pela extinção do contrato e, nesse caso, adotará as medidas admitidas em lei para a continuidade da execução contratual</w:t>
      </w:r>
    </w:p>
    <w:p>
      <w:pPr>
        <w:pStyle w:val="Normal1"/>
        <w:keepNext w:val="false"/>
        <w:keepLines w:val="false"/>
        <w:pageBreakBefore w:val="false"/>
        <w:widowControl/>
        <w:pBdr/>
        <w:shd w:val="clear" w:fill="auto"/>
        <w:spacing w:lineRule="auto" w:line="259" w:before="60" w:after="60"/>
        <w:ind w:left="0" w:right="0" w:hanging="0"/>
        <w:jc w:val="center"/>
        <w:rPr>
          <w:rFonts w:ascii="Arial" w:hAnsi="Arial" w:eastAsia="Arial" w:cs="Arial"/>
          <w:b/>
          <w:b/>
          <w:i/>
          <w:i/>
          <w:caps w:val="false"/>
          <w:smallCaps w:val="false"/>
          <w:strike w:val="false"/>
          <w:dstrike w:val="false"/>
          <w:color w:val="FF0000"/>
          <w:position w:val="0"/>
          <w:sz w:val="24"/>
          <w:sz w:val="24"/>
          <w:szCs w:val="24"/>
          <w:u w:val="single"/>
          <w:shd w:fill="auto" w:val="clear"/>
          <w:vertAlign w:val="baseline"/>
        </w:rPr>
      </w:pPr>
      <w:r>
        <w:rPr>
          <w:rFonts w:eastAsia="Arial" w:cs="Arial" w:ascii="Arial" w:hAnsi="Arial"/>
          <w:b/>
          <w:i/>
          <w:caps w:val="false"/>
          <w:smallCaps w:val="false"/>
          <w:strike w:val="false"/>
          <w:dstrike w:val="false"/>
          <w:color w:val="FF0000"/>
          <w:position w:val="0"/>
          <w:sz w:val="24"/>
          <w:sz w:val="24"/>
          <w:szCs w:val="24"/>
          <w:u w:val="single"/>
          <w:shd w:fill="auto" w:val="clear"/>
          <w:vertAlign w:val="baseline"/>
        </w:rPr>
        <w:t>OU</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contrato </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será extinto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quando vencido o prazo nele estipulado, independentemente de terem sido cumpridas ou não as obrigações de ambas as partes contraentes.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O contrato </w:t>
      </w:r>
      <w:r>
        <w:rPr>
          <w:rFonts w:eastAsia="Arial" w:cs="Arial" w:ascii="Arial" w:hAnsi="Arial"/>
          <w:b w:val="false"/>
          <w:i/>
          <w:caps w:val="false"/>
          <w:smallCaps w:val="false"/>
          <w:strike w:val="false"/>
          <w:dstrike w:val="false"/>
          <w:color w:val="FF0000"/>
          <w:position w:val="0"/>
          <w:sz w:val="20"/>
          <w:sz w:val="20"/>
          <w:szCs w:val="20"/>
          <w:highlight w:val="yellow"/>
          <w:u w:val="none"/>
          <w:vertAlign w:val="baseline"/>
        </w:rPr>
        <w:t>poderá</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ser extinto antes do prazo nele fixado, sem ônus para o contratante, quando esta não dispuser de créditos orçamentários para sua continuidade ou quando entender que o contrato não mais lhe oferece vantagem.</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A extinção nesta hipótese ocorrerá na próxima data de aniversário do contrato, desde que haja a notificação do contratado pelo contratante nesse sentido com pelo menos 2 (dois) meses de antecedência desse dia.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Caso a notificação da não-continuidade do contrato de que trata este subitem ocorra com menos de 2 (dois) meses da data de aniversário, a extinção contratual ocorrerá após 2 (dois) meses da data da comunicação.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contrato </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poderá</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ser extinto antes de cumpridas as obrigações nele estipuladas, ou antes do prazo nele fixado, por algum dos motivos previstos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"art137"</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 137 da Lei nº 14.133/21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bem como amigavelmente, assegurados o contraditório e a ampla defesa.</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Nesta hipótese, aplicam-se também 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"art138"</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artigos 138 e 139</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da mesma Lei.</w:t>
      </w:r>
    </w:p>
    <w:p>
      <w:pPr>
        <w:pStyle w:val="Normal1"/>
        <w:keepNext w:val="false"/>
        <w:keepLines w:val="false"/>
        <w:pageBreakBefore w:val="false"/>
        <w:widowControl/>
        <w:numPr>
          <w:ilvl w:val="2"/>
          <w:numId w:val="8"/>
        </w:numPr>
        <w:pBdr/>
        <w:shd w:val="clear" w:fill="auto"/>
        <w:spacing w:lineRule="auto" w:line="276" w:before="120" w:after="120"/>
        <w:ind w:left="284"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A alteração social ou a modificação da finalidade ou da estrutura da empresa não ensejará a </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extinção</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se não restringir sua capacidade de concluir o contrato.</w:t>
      </w:r>
    </w:p>
    <w:p>
      <w:pPr>
        <w:pStyle w:val="Normal1"/>
        <w:keepNext w:val="false"/>
        <w:keepLines w:val="false"/>
        <w:pageBreakBefore w:val="false"/>
        <w:widowControl/>
        <w:numPr>
          <w:ilvl w:val="3"/>
          <w:numId w:val="8"/>
        </w:numPr>
        <w:pBdr/>
        <w:shd w:val="clear" w:fill="auto"/>
        <w:spacing w:lineRule="auto" w:line="276" w:before="120" w:after="120"/>
        <w:ind w:left="567"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Se a operação implicar mudança da pessoa jurídica contratada, deverá ser formalizado termo aditivo para alteração subjetiva.</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 termo de </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extinção</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sempre que possível, será precedido:</w:t>
      </w:r>
    </w:p>
    <w:p>
      <w:pPr>
        <w:pStyle w:val="Normal1"/>
        <w:keepNext w:val="false"/>
        <w:keepLines w:val="false"/>
        <w:pageBreakBefore w:val="false"/>
        <w:widowControl/>
        <w:numPr>
          <w:ilvl w:val="3"/>
          <w:numId w:val="8"/>
        </w:numPr>
        <w:pBdr/>
        <w:shd w:val="clear" w:fill="auto"/>
        <w:spacing w:lineRule="auto" w:line="276" w:before="120" w:after="120"/>
        <w:ind w:left="567"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Balanço dos eventos contratuais já cumpridos ou parcialmente cumpridos;</w:t>
      </w:r>
    </w:p>
    <w:p>
      <w:pPr>
        <w:pStyle w:val="Normal1"/>
        <w:keepNext w:val="false"/>
        <w:keepLines w:val="false"/>
        <w:pageBreakBefore w:val="false"/>
        <w:widowControl/>
        <w:numPr>
          <w:ilvl w:val="3"/>
          <w:numId w:val="8"/>
        </w:numPr>
        <w:pBdr/>
        <w:shd w:val="clear" w:fill="auto"/>
        <w:spacing w:lineRule="auto" w:line="276" w:before="120" w:after="120"/>
        <w:ind w:left="567"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Relação dos pagamentos já efetuados e ainda devidos;</w:t>
      </w:r>
    </w:p>
    <w:p>
      <w:pPr>
        <w:pStyle w:val="Normal1"/>
        <w:keepNext w:val="false"/>
        <w:keepLines w:val="false"/>
        <w:pageBreakBefore w:val="false"/>
        <w:widowControl/>
        <w:numPr>
          <w:ilvl w:val="3"/>
          <w:numId w:val="8"/>
        </w:numPr>
        <w:pBdr/>
        <w:shd w:val="clear" w:fill="auto"/>
        <w:spacing w:lineRule="auto" w:line="276" w:before="120" w:after="120"/>
        <w:ind w:left="567"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Indenizações e multas.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 extinção do contrato não configura óbice para o reconhecimento do desequilíbrio econômico-financeiro, hipótese em que será concedida indenização por meio de termo indenizatório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"art131"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 xml:space="preserve">art. 131, </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caps w:val="false"/>
          <w:smallCaps w:val="false"/>
          <w:strike w:val="false"/>
          <w:dstrike w:val="false"/>
          <w:color w:val="0000FF"/>
          <w:position w:val="0"/>
          <w:sz w:val="20"/>
          <w:sz w:val="20"/>
          <w:szCs w:val="20"/>
          <w:u w:val="single"/>
          <w:shd w:fill="auto" w:val="clear"/>
          <w:vertAlign w:val="baseline"/>
        </w:rPr>
        <w:t xml:space="preserve">caput, </w:t>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da Lei n.º 14.133, de 2021).</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yellow"/>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QUARTA – DOTAÇÃO ORÇAMENTÁRIA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VIII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As despesas decorrentes da presente contratação correrão à conta de recursos específicos consignados no Orçamento Geral da União deste exercício, na dotação abaixo discriminada:</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1"/>
        <w:numPr>
          <w:ilvl w:val="1"/>
          <w:numId w:val="3"/>
        </w:numPr>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Nota de Empenho: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A dotação relativa aos exercícios financeiros subsequentes será indicada após aprovação da Lei Orçamentária respectiva e liberação dos créditos correspondentes, mediante </w:t>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
            <w:sdtPr/>
            <w:sdtConten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sdtContent>
      </w:sdt>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apostilamento</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QUINTA – DOS CASOS OMISSOS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III</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Os casos omissos serão decididos pelo contratante, segundo as disposições contidas na </w:t>
      </w:r>
      <w:hyperlink r:id="rId10">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14.133, de 2021</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e demais normas federais aplicáveis e, subsidiariamente, segundo as disposições contidas na </w:t>
      </w:r>
      <w:hyperlink r:id="rId11">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Lei nº 8.078, de 1990 – Código de Defesa do Consumidor</w:t>
        </w:r>
      </w:hyperlink>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 e normas e princípios gerais dos contratos.</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SEXTA – ALTERAÇÕES</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Eventuais alterações contratuais reger-se-ão pela disciplina dos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"art124"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arts. 124 e seguintes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O contratado é obrigado a aceitar, nas mesmas condições contratuais, os acréscimos ou supressões que se fizerem necessários, até o limite de 25% (vinte e cinco por cento) do valor inicial atualizado do contrato.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highlight w:val="yellow"/>
          <w:u w:val="none"/>
          <w:vertAlign w:val="baseline"/>
        </w:rPr>
      </w:pP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Registros que não caracterizam alteração do contrato podem ser realizados por simples apostila, dispensada a celebração de termo aditivo, na forma do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"art136"</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136 da Lei nº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SÉTIMA – PUBLICAÇÃO</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Incumbirá ao contratante divulgar o presente instrumento no Portal Nacional de Contratações Públicas (PNCP), na forma prevista no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"art94"</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94 da Lei 14.133, de 2021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bem como no respectivo sítio oficial na Internet, em atenção ao </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 xml:space="preserve">art. 91, </w:t>
      </w:r>
      <w:r>
        <w:rPr>
          <w:rFonts w:eastAsia="Arial" w:cs="Arial" w:ascii="Arial" w:hAnsi="Arial"/>
          <w:b w:val="false"/>
          <w:i/>
          <w:caps w:val="false"/>
          <w:smallCaps w:val="false"/>
          <w:strike w:val="false"/>
          <w:dstrike w:val="false"/>
          <w:color w:val="000000"/>
          <w:position w:val="0"/>
          <w:sz w:val="20"/>
          <w:sz w:val="20"/>
          <w:szCs w:val="20"/>
          <w:highlight w:val="yellow"/>
          <w:u w:val="none"/>
          <w:vertAlign w:val="baseline"/>
        </w:rPr>
        <w:t>caput,</w:t>
      </w:r>
      <w:r>
        <w:rPr>
          <w:rFonts w:eastAsia="Arial" w:cs="Arial" w:ascii="Arial" w:hAnsi="Arial"/>
          <w:b w:val="false"/>
          <w:i w:val="false"/>
          <w:caps w:val="false"/>
          <w:smallCaps w:val="false"/>
          <w:strike w:val="false"/>
          <w:dstrike w:val="false"/>
          <w:color w:val="000000"/>
          <w:position w:val="0"/>
          <w:sz w:val="20"/>
          <w:sz w:val="20"/>
          <w:szCs w:val="20"/>
          <w:highlight w:val="yellow"/>
          <w:u w:val="none"/>
          <w:vertAlign w:val="baseline"/>
        </w:rPr>
        <w:t xml:space="preserve"> da Lei n.º 14.133, de 2021, </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e ao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"https://www.planalto.gov.br/ccivil_03/_ato2011-2014/2011/lei/l12527.htm" \l "art8§2"</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8º, §2º, da Lei n. 12.527, de 2011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c/c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"https://www.planalto.gov.br/ccivil_03/_ato2011-2014/2012/decreto/d7724.htm" \l "art7§3"</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7º, §3º, inciso V, do Decreto n. 7.724, de 2012.</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Normal1"/>
        <w:keepNext w:val="true"/>
        <w:keepLines/>
        <w:pageBreakBefore w:val="false"/>
        <w:widowControl/>
        <w:numPr>
          <w:ilvl w:val="0"/>
          <w:numId w:val="8"/>
        </w:numPr>
        <w:pBdr/>
        <w:shd w:val="clear" w:fill="auto"/>
        <w:tabs>
          <w:tab w:val="clear" w:pos="720"/>
          <w:tab w:val="left" w:pos="567" w:leader="none"/>
        </w:tabs>
        <w:spacing w:lineRule="auto" w:line="240" w:before="240" w:after="0"/>
        <w:ind w:left="0" w:right="0" w:hanging="0"/>
        <w:jc w:val="both"/>
        <w:rPr>
          <w:rFonts w:ascii="Arial" w:hAnsi="Arial" w:eastAsia="Arial" w:cs="Arial"/>
          <w:b/>
          <w:b/>
          <w:i w:val="false"/>
          <w:i w:val="false"/>
          <w:caps w:val="false"/>
          <w:smallCaps w:val="false"/>
          <w:strike w:val="false"/>
          <w:dstrike w:val="false"/>
          <w:color w:val="FFFFFF"/>
          <w:position w:val="0"/>
          <w:sz w:val="20"/>
          <w:sz w:val="20"/>
          <w:szCs w:val="20"/>
          <w:u w:val="none"/>
          <w:shd w:fill="auto" w:val="clear"/>
          <w:vertAlign w:val="baseline"/>
        </w:rPr>
      </w:pP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CLÁUSULA DÉCIMA OITAVA – FORO (</w:t>
      </w:r>
      <w:r>
        <w:fldChar w:fldCharType="begin"/>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instrText xml:space="preserve"> HYPERLINK "http://www.planalto.gov.br/ccivil_03/_ato2019-2022/2021/lei/L14133.htm" \l "art92§1"</w:instrTex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separate"/>
      </w:r>
      <w:r>
        <w:rPr>
          <w:rFonts w:eastAsia="Arial" w:cs="Arial" w:ascii="Arial" w:hAnsi="Arial"/>
          <w:b/>
          <w:i w:val="false"/>
          <w:caps w:val="false"/>
          <w:smallCaps w:val="false"/>
          <w:strike w:val="false"/>
          <w:dstrike w:val="false"/>
          <w:color w:val="0000FF"/>
          <w:position w:val="0"/>
          <w:sz w:val="20"/>
          <w:sz w:val="20"/>
          <w:szCs w:val="20"/>
          <w:u w:val="single"/>
          <w:shd w:fill="auto" w:val="clear"/>
          <w:vertAlign w:val="baseline"/>
        </w:rPr>
        <w:t>art. 92, §1º</w:t>
      </w:r>
      <w:r>
        <w:rPr>
          <w:smallCaps w:val="false"/>
          <w:caps w:val="false"/>
          <w:dstrike w:val="false"/>
          <w:strike w:val="false"/>
          <w:vertAlign w:val="baseline"/>
          <w:position w:val="0"/>
          <w:sz w:val="20"/>
          <w:sz w:val="20"/>
          <w:i w:val="false"/>
          <w:u w:val="single"/>
          <w:b/>
          <w:shd w:fill="auto" w:val="clear"/>
          <w:szCs w:val="20"/>
          <w:rFonts w:eastAsia="Arial" w:cs="Arial" w:ascii="Arial" w:hAnsi="Arial"/>
          <w:color w:val="0000FF"/>
        </w:rPr>
        <w:fldChar w:fldCharType="end"/>
      </w:r>
      <w:r>
        <w:rPr>
          <w:rFonts w:eastAsia="Arial" w:cs="Arial" w:ascii="Arial" w:hAnsi="Arial"/>
          <w:b/>
          <w:i w:val="false"/>
          <w:caps w:val="false"/>
          <w:smallCaps w:val="false"/>
          <w:strike w:val="false"/>
          <w:dstrike w:val="false"/>
          <w:color w:val="000000"/>
          <w:position w:val="0"/>
          <w:sz w:val="20"/>
          <w:sz w:val="20"/>
          <w:szCs w:val="20"/>
          <w:u w:val="none"/>
          <w:shd w:fill="auto" w:val="clear"/>
          <w:vertAlign w:val="baseline"/>
        </w:rPr>
        <w:t>)</w:t>
      </w:r>
    </w:p>
    <w:p>
      <w:pPr>
        <w:pStyle w:val="Normal1"/>
        <w:keepNext w:val="false"/>
        <w:keepLines w:val="false"/>
        <w:pageBreakBefore w:val="false"/>
        <w:widowControl/>
        <w:numPr>
          <w:ilvl w:val="1"/>
          <w:numId w:val="8"/>
        </w:numPr>
        <w:pBdr/>
        <w:shd w:val="clear" w:fill="auto"/>
        <w:spacing w:lineRule="auto" w:line="276" w:before="120" w:after="120"/>
        <w:ind w:left="0" w:right="0" w:hanging="0"/>
        <w:jc w:val="both"/>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Fica eleito o Foro da Justiça Federal em </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Cruz Alta / RS</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Seção Judiciária de </w:t>
      </w:r>
      <w:r>
        <w:rPr>
          <w:rFonts w:eastAsia="Arial" w:cs="Arial" w:ascii="Arial" w:hAnsi="Arial"/>
          <w:b w:val="false"/>
          <w:i w:val="false"/>
          <w:caps w:val="false"/>
          <w:smallCaps w:val="false"/>
          <w:strike w:val="false"/>
          <w:dstrike w:val="false"/>
          <w:color w:val="FF0000"/>
          <w:position w:val="0"/>
          <w:sz w:val="20"/>
          <w:sz w:val="20"/>
          <w:szCs w:val="20"/>
          <w:u w:val="none"/>
          <w:shd w:fill="auto" w:val="clear"/>
          <w:vertAlign w:val="baseline"/>
        </w:rPr>
        <w:t>Cruz Alta / RS</w:t>
      </w: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 xml:space="preserve"> para dirimir os litígios que decorrerem da execução deste Termo de Contrato que não puderem ser compostos pela conciliação, conforme </w:t>
      </w:r>
      <w:r>
        <w:fldChar w:fldCharType="begin"/>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instrText xml:space="preserve"> HYPERLINK "http://www.planalto.gov.br/ccivil_03/_ato2019-2022/2021/lei/L14133.htm" \l "art92§1"</w:instrTex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separate"/>
      </w:r>
      <w:r>
        <w:rPr>
          <w:rFonts w:eastAsia="Arial" w:cs="Arial" w:ascii="Arial" w:hAnsi="Arial"/>
          <w:b w:val="false"/>
          <w:i w:val="false"/>
          <w:caps w:val="false"/>
          <w:smallCaps w:val="false"/>
          <w:strike w:val="false"/>
          <w:dstrike w:val="false"/>
          <w:color w:val="0000FF"/>
          <w:position w:val="0"/>
          <w:sz w:val="20"/>
          <w:sz w:val="20"/>
          <w:szCs w:val="20"/>
          <w:u w:val="single"/>
          <w:shd w:fill="auto" w:val="clear"/>
          <w:vertAlign w:val="baseline"/>
        </w:rPr>
        <w:t>art. 92, §1º, da Lei nº 14.133/21.</w:t>
      </w:r>
      <w:r>
        <w:rPr>
          <w:smallCaps w:val="false"/>
          <w:caps w:val="false"/>
          <w:dstrike w:val="false"/>
          <w:strike w:val="false"/>
          <w:vertAlign w:val="baseline"/>
          <w:position w:val="0"/>
          <w:sz w:val="20"/>
          <w:sz w:val="20"/>
          <w:i w:val="false"/>
          <w:u w:val="single"/>
          <w:b w:val="false"/>
          <w:shd w:fill="auto" w:val="clear"/>
          <w:szCs w:val="20"/>
          <w:rFonts w:eastAsia="Arial" w:cs="Arial" w:ascii="Arial" w:hAnsi="Arial"/>
          <w:color w:val="0000FF"/>
        </w:rPr>
        <w:fldChar w:fldCharType="end"/>
      </w:r>
    </w:p>
    <w:p>
      <w:pPr>
        <w:pStyle w:val="Normal1"/>
        <w:keepNext w:val="false"/>
        <w:keepLines w:val="false"/>
        <w:pageBreakBefore w:val="false"/>
        <w:widowControl/>
        <w:pBdr/>
        <w:shd w:val="clear" w:fill="auto"/>
        <w:spacing w:lineRule="auto" w:line="312" w:before="120" w:after="288"/>
        <w:ind w:left="0" w:right="0" w:firstLine="709"/>
        <w:jc w:val="both"/>
        <w:rPr>
          <w:rFonts w:ascii="Arial" w:hAnsi="Arial" w:eastAsia="Arial" w:cs="Arial"/>
          <w:b w:val="false"/>
          <w:b w:val="false"/>
          <w:i/>
          <w:i/>
          <w:caps w:val="false"/>
          <w:smallCaps w:val="false"/>
          <w:strike w:val="false"/>
          <w:dstrike w:val="false"/>
          <w:color w:val="FF0000"/>
          <w:position w:val="0"/>
          <w:sz w:val="20"/>
          <w:sz w:val="20"/>
          <w:szCs w:val="20"/>
          <w:u w:val="none"/>
          <w:shd w:fill="auto" w:val="clear"/>
          <w:vertAlign w:val="baseline"/>
        </w:rPr>
      </w:pP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r>
    </w:p>
    <w:p>
      <w:pPr>
        <w:pStyle w:val="Normal1"/>
        <w:keepNext w:val="false"/>
        <w:keepLines w:val="false"/>
        <w:pageBreakBefore w:val="false"/>
        <w:widowControl/>
        <w:pBdr/>
        <w:shd w:val="clear" w:fill="auto"/>
        <w:spacing w:lineRule="auto" w:line="312" w:before="120" w:after="288"/>
        <w:ind w:left="0" w:right="0" w:firstLine="709"/>
        <w:jc w:val="both"/>
        <w:rPr>
          <w:rFonts w:ascii="Arial" w:hAnsi="Arial" w:eastAsia="Arial" w:cs="Arial"/>
          <w:b w:val="false"/>
          <w:b w:val="false"/>
          <w:i/>
          <w:i/>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i/>
          <w:color w:val="FF0000"/>
          <w:sz w:val="20"/>
          <w:szCs w:val="20"/>
        </w:rPr>
        <w:t>Ibirubá</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[dia] </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de</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[mês] </w:t>
      </w:r>
      <w:r>
        <w:rPr>
          <w:rFonts w:eastAsia="Arial" w:cs="Arial" w:ascii="Arial" w:hAnsi="Arial"/>
          <w:b w:val="false"/>
          <w:i/>
          <w:caps w:val="false"/>
          <w:smallCaps w:val="false"/>
          <w:strike w:val="false"/>
          <w:dstrike w:val="false"/>
          <w:color w:val="000000"/>
          <w:position w:val="0"/>
          <w:sz w:val="20"/>
          <w:sz w:val="20"/>
          <w:szCs w:val="20"/>
          <w:u w:val="none"/>
          <w:shd w:fill="auto" w:val="clear"/>
          <w:vertAlign w:val="baseline"/>
        </w:rPr>
        <w:t>de</w:t>
      </w:r>
      <w:r>
        <w:rPr>
          <w:rFonts w:eastAsia="Arial" w:cs="Arial" w:ascii="Arial" w:hAnsi="Arial"/>
          <w:b w:val="false"/>
          <w:i/>
          <w:caps w:val="false"/>
          <w:smallCaps w:val="false"/>
          <w:strike w:val="false"/>
          <w:dstrike w:val="false"/>
          <w:color w:val="FF0000"/>
          <w:position w:val="0"/>
          <w:sz w:val="20"/>
          <w:sz w:val="20"/>
          <w:szCs w:val="20"/>
          <w:u w:val="none"/>
          <w:shd w:fill="auto" w:val="clear"/>
          <w:vertAlign w:val="baseline"/>
        </w:rPr>
        <w:t xml:space="preserve"> [ano].</w:t>
      </w:r>
    </w:p>
    <w:p>
      <w:pPr>
        <w:pStyle w:val="Normal1"/>
        <w:spacing w:lineRule="auto" w:line="312" w:before="120" w:after="288"/>
        <w:ind w:firstLine="709"/>
        <w:jc w:val="center"/>
        <w:rPr>
          <w:rFonts w:ascii="Arial" w:hAnsi="Arial" w:eastAsia="Arial" w:cs="Arial"/>
          <w:sz w:val="20"/>
          <w:szCs w:val="20"/>
        </w:rPr>
      </w:pPr>
      <w:r>
        <w:rPr>
          <w:rFonts w:eastAsia="Arial" w:cs="Arial" w:ascii="Arial" w:hAnsi="Arial"/>
          <w:sz w:val="20"/>
          <w:szCs w:val="20"/>
        </w:rPr>
        <w:t>_________________________</w:t>
      </w:r>
    </w:p>
    <w:p>
      <w:pPr>
        <w:pStyle w:val="Normal1"/>
        <w:spacing w:lineRule="auto" w:line="312" w:before="120" w:after="288"/>
        <w:ind w:firstLine="709"/>
        <w:jc w:val="center"/>
        <w:rPr>
          <w:rFonts w:ascii="Arial" w:hAnsi="Arial" w:eastAsia="Arial" w:cs="Arial"/>
          <w:sz w:val="20"/>
          <w:szCs w:val="20"/>
        </w:rPr>
      </w:pPr>
      <w:r>
        <w:rPr>
          <w:rFonts w:eastAsia="Arial" w:cs="Arial" w:ascii="Arial" w:hAnsi="Arial"/>
          <w:sz w:val="20"/>
          <w:szCs w:val="20"/>
        </w:rPr>
        <w:t>Representante legal do CONTRATANTE</w:t>
      </w:r>
    </w:p>
    <w:p>
      <w:pPr>
        <w:pStyle w:val="Normal1"/>
        <w:spacing w:lineRule="auto" w:line="312" w:before="120" w:after="288"/>
        <w:ind w:firstLine="709"/>
        <w:jc w:val="center"/>
        <w:rPr>
          <w:rFonts w:ascii="Arial" w:hAnsi="Arial" w:eastAsia="Arial" w:cs="Arial"/>
          <w:sz w:val="20"/>
          <w:szCs w:val="20"/>
        </w:rPr>
      </w:pPr>
      <w:r>
        <w:rPr>
          <w:rFonts w:eastAsia="Arial" w:cs="Arial" w:ascii="Arial" w:hAnsi="Arial"/>
          <w:sz w:val="20"/>
          <w:szCs w:val="20"/>
        </w:rPr>
        <w:t>_________________________</w:t>
      </w:r>
    </w:p>
    <w:p>
      <w:pPr>
        <w:pStyle w:val="Normal1"/>
        <w:spacing w:lineRule="auto" w:line="312" w:before="120" w:after="288"/>
        <w:ind w:firstLine="709"/>
        <w:jc w:val="center"/>
        <w:rPr>
          <w:rFonts w:ascii="Arial" w:hAnsi="Arial" w:eastAsia="Arial" w:cs="Arial"/>
          <w:sz w:val="20"/>
          <w:szCs w:val="20"/>
        </w:rPr>
      </w:pPr>
      <w:r>
        <w:rPr>
          <w:rFonts w:eastAsia="Arial" w:cs="Arial" w:ascii="Arial" w:hAnsi="Arial"/>
          <w:sz w:val="20"/>
          <w:szCs w:val="20"/>
        </w:rPr>
        <w:t>Representante legal do CONTRATADO</w:t>
      </w:r>
    </w:p>
    <w:p>
      <w:pPr>
        <w:pStyle w:val="Normal1"/>
        <w:spacing w:lineRule="auto" w:line="312" w:before="120" w:after="288"/>
        <w:ind w:firstLine="709"/>
        <w:jc w:val="both"/>
        <w:rPr>
          <w:rFonts w:ascii="Arial" w:hAnsi="Arial" w:eastAsia="Arial" w:cs="Arial"/>
          <w:i/>
          <w:i/>
          <w:color w:val="FF0000"/>
          <w:sz w:val="20"/>
          <w:szCs w:val="20"/>
        </w:rPr>
      </w:pPr>
      <w:r>
        <w:rPr>
          <w:rFonts w:eastAsia="Arial" w:cs="Arial" w:ascii="Arial" w:hAnsi="Arial"/>
          <w:i/>
          <w:color w:val="FF0000"/>
          <w:sz w:val="20"/>
          <w:szCs w:val="20"/>
        </w:rPr>
        <w:t>TESTEMUNHAS:</w:t>
      </w:r>
    </w:p>
    <w:p>
      <w:pPr>
        <w:pStyle w:val="Normal1"/>
        <w:spacing w:lineRule="auto" w:line="312" w:before="120" w:after="288"/>
        <w:ind w:firstLine="709"/>
        <w:rPr>
          <w:rFonts w:ascii="Arial" w:hAnsi="Arial" w:eastAsia="Arial" w:cs="Arial"/>
          <w:i/>
          <w:i/>
          <w:color w:val="FF0000"/>
          <w:sz w:val="20"/>
          <w:szCs w:val="20"/>
        </w:rPr>
      </w:pPr>
      <w:r>
        <w:rPr>
          <w:rFonts w:eastAsia="Arial" w:cs="Arial" w:ascii="Arial" w:hAnsi="Arial"/>
          <w:i/>
          <w:color w:val="FF0000"/>
          <w:sz w:val="20"/>
          <w:szCs w:val="20"/>
        </w:rPr>
        <w:t>1-</w:t>
      </w:r>
    </w:p>
    <w:p>
      <w:pPr>
        <w:pStyle w:val="Normal1"/>
        <w:spacing w:lineRule="auto" w:line="312" w:before="120" w:after="288"/>
        <w:ind w:firstLine="709"/>
        <w:rPr>
          <w:rFonts w:ascii="Arial" w:hAnsi="Arial" w:eastAsia="Arial" w:cs="Arial"/>
          <w:i/>
          <w:i/>
          <w:color w:val="FF0000"/>
          <w:sz w:val="20"/>
          <w:szCs w:val="20"/>
        </w:rPr>
      </w:pPr>
      <w:r>
        <w:rPr>
          <w:rFonts w:eastAsia="Arial" w:cs="Arial" w:ascii="Arial" w:hAnsi="Arial"/>
          <w:i/>
          <w:color w:val="FF0000"/>
          <w:sz w:val="20"/>
          <w:szCs w:val="20"/>
        </w:rPr>
        <w:t xml:space="preserve">2- </w:t>
      </w:r>
    </w:p>
    <w:p>
      <w:pPr>
        <w:pStyle w:val="Normal1"/>
        <w:spacing w:lineRule="auto" w:line="312" w:before="120" w:after="288"/>
        <w:ind w:firstLine="709"/>
        <w:rPr>
          <w:rFonts w:ascii="Arial" w:hAnsi="Arial" w:eastAsia="Arial" w:cs="Arial"/>
          <w:b/>
          <w:b/>
          <w:i/>
          <w:i/>
          <w:sz w:val="20"/>
          <w:szCs w:val="20"/>
        </w:rPr>
      </w:pPr>
      <w:r>
        <w:rPr/>
      </w:r>
    </w:p>
    <w:sectPr>
      <w:headerReference w:type="default" r:id="rId12"/>
      <w:footerReference w:type="default" r:id="rId13"/>
      <w:type w:val="nextPage"/>
      <w:pgSz w:w="11906" w:h="16838"/>
      <w:pgMar w:left="1134" w:right="1134" w:gutter="0" w:header="709" w:top="1418" w:footer="709" w:bottom="1418"/>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548DD4"/>
        <w:position w:val="0"/>
        <w:sz w:val="16"/>
        <w:sz w:val="16"/>
        <w:szCs w:val="16"/>
        <w:u w:val="none"/>
        <w:shd w:fill="auto" w:val="clear"/>
        <w:vertAlign w:val="baseline"/>
      </w:rPr>
    </w:pPr>
    <w:r>
      <w:rPr>
        <w:rFonts w:eastAsia="Arial" w:cs="Arial" w:ascii="Arial" w:hAnsi="Arial"/>
        <w:b w:val="false"/>
        <w:i w:val="false"/>
        <w:caps w:val="false"/>
        <w:smallCaps w:val="false"/>
        <w:strike w:val="false"/>
        <w:dstrike w:val="false"/>
        <w:color w:val="548DD4"/>
        <w:position w:val="0"/>
        <w:sz w:val="22"/>
        <w:sz w:val="22"/>
        <w:szCs w:val="22"/>
        <w:u w:val="none"/>
        <w:shd w:fill="auto" w:val="clear"/>
        <w:vertAlign w:val="baseline"/>
      </w:rPr>
      <w:tab/>
      <w:tab/>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7F7F7F"/>
        <w:position w:val="0"/>
        <w:sz w:val="18"/>
        <w:sz w:val="18"/>
        <w:szCs w:val="18"/>
        <w:u w:val="none"/>
        <w:shd w:fill="auto" w:val="clear"/>
        <w:vertAlign w:val="baseline"/>
      </w:rPr>
    </w:pPr>
    <w:r>
      <w:rPr>
        <w:rFonts w:eastAsia="Arial" w:cs="Arial" w:ascii="Arial" w:hAnsi="Arial"/>
        <w:b w:val="false"/>
        <w:i w:val="false"/>
        <w:caps w:val="false"/>
        <w:smallCaps w:val="false"/>
        <w:strike w:val="false"/>
        <w:dstrike w:val="false"/>
        <w:color w:val="7F7F7F"/>
        <w:position w:val="0"/>
        <w:sz w:val="22"/>
        <w:sz w:val="22"/>
        <w:szCs w:val="22"/>
        <w:u w:val="none"/>
        <w:shd w:fill="auto" w:val="clear"/>
        <w:vertAlign w:val="baseline"/>
      </w:rPr>
      <w:tab/>
      <w:tab/>
    </w:r>
    <w:r>
      <w:rPr>
        <w:rFonts w:eastAsia="Arial" w:cs="Arial" w:ascii="Arial" w:hAnsi="Arial"/>
        <w:b w:val="false"/>
        <w:i w:val="false"/>
        <w:caps w:val="false"/>
        <w:smallCaps w:val="false"/>
        <w:strike w:val="false"/>
        <w:dstrike w:val="false"/>
        <w:color w:val="595959"/>
        <w:position w:val="0"/>
        <w:sz w:val="18"/>
        <w:sz w:val="18"/>
        <w:szCs w:val="18"/>
        <w:u w:val="none"/>
        <w:shd w:fill="auto" w:val="clear"/>
        <w:vertAlign w:val="baseline"/>
      </w:rPr>
      <w:t xml:space="preserve">Página </w:t>
    </w:r>
    <w:r>
      <w:rPr/>
      <w:fldChar w:fldCharType="begin"/>
    </w:r>
    <w:r>
      <w:rPr/>
      <w:instrText xml:space="preserve"> PAGE </w:instrText>
    </w:r>
    <w:r>
      <w:rPr/>
      <w:fldChar w:fldCharType="separate"/>
    </w:r>
    <w:r>
      <w:rPr/>
      <w:t>17</w:t>
    </w:r>
    <w:r>
      <w:rPr/>
      <w:fldChar w:fldCharType="end"/>
    </w:r>
    <w:r>
      <w:rPr>
        <w:rFonts w:eastAsia="Arial" w:cs="Arial" w:ascii="Arial" w:hAnsi="Arial"/>
        <w:b w:val="false"/>
        <w:i w:val="false"/>
        <w:caps w:val="false"/>
        <w:smallCaps w:val="false"/>
        <w:strike w:val="false"/>
        <w:dstrike w:val="false"/>
        <w:color w:val="595959"/>
        <w:position w:val="0"/>
        <w:sz w:val="18"/>
        <w:sz w:val="18"/>
        <w:szCs w:val="18"/>
        <w:u w:val="none"/>
        <w:shd w:fill="auto" w:val="clear"/>
        <w:vertAlign w:val="baseline"/>
      </w:rPr>
      <w:t xml:space="preserve"> | </w:t>
    </w:r>
    <w:r>
      <w:rPr/>
      <w:fldChar w:fldCharType="begin"/>
    </w:r>
    <w:r>
      <w:rPr/>
      <w:instrText xml:space="preserve"> NUMPAGES </w:instrText>
    </w:r>
    <w:r>
      <w:rPr/>
      <w:fldChar w:fldCharType="separate"/>
    </w:r>
    <w:r>
      <w:rPr/>
      <w:t>17</w:t>
    </w:r>
    <w:r>
      <w:rPr/>
      <w:fldChar w:fldCharType="end"/>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4"/>
        <w:sz w:val="14"/>
        <w:szCs w:val="1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Câmara Nacional de Modelos de Licitações e Contratos da Consultoria-Geral da União</w:t>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4"/>
        <w:sz w:val="14"/>
        <w:szCs w:val="1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Atualização: maio/2023</w:t>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4"/>
        <w:sz w:val="14"/>
        <w:szCs w:val="1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Termo de contrato modelo para Pregão Eletrônico – Serviços sem mão de obra em regime de dedicação exclusiva - Lei n.º 14.133, de 2021.</w:t>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4"/>
        <w:sz w:val="14"/>
        <w:szCs w:val="1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Aprovado pela Secretaria de Gestão e Inovação.</w:t>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14"/>
        <w:sz w:val="14"/>
        <w:szCs w:val="14"/>
        <w:u w:val="none"/>
        <w:shd w:fill="auto" w:val="clear"/>
        <w:vertAlign w:val="baseline"/>
      </w:rPr>
      <w:t>Identidade visual pela Secretaria de Gestão e Inovação</w:t>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val="false"/>
      <w:pBdr/>
      <w:shd w:val="clear" w:fill="auto"/>
      <w:spacing w:lineRule="auto" w:line="276" w:before="0" w:after="0"/>
      <w:ind w:left="0" w:right="0" w:hanging="0"/>
      <w:jc w:val="left"/>
      <w:rPr>
        <w:rFonts w:ascii="Arial" w:hAnsi="Arial" w:eastAsia="Arial" w:cs="Arial"/>
        <w:b/>
        <w:b/>
        <w:i/>
        <w:i/>
        <w:sz w:val="20"/>
        <w:szCs w:val="20"/>
      </w:rPr>
    </w:pPr>
    <w:r>
      <w:rPr>
        <w:rFonts w:eastAsia="Arial" w:cs="Arial" w:ascii="Arial" w:hAnsi="Arial"/>
        <w:b/>
        <w:i/>
        <w:sz w:val="20"/>
        <w:szCs w:val="20"/>
      </w:rPr>
    </w:r>
  </w:p>
  <w:tbl>
    <w:tblPr>
      <w:tblStyle w:val="Table2"/>
      <w:tblW w:w="15112" w:type="dxa"/>
      <w:jc w:val="left"/>
      <w:tblInd w:w="3828" w:type="dxa"/>
      <w:tblLayout w:type="fixed"/>
      <w:tblCellMar>
        <w:top w:w="0" w:type="dxa"/>
        <w:left w:w="108" w:type="dxa"/>
        <w:bottom w:w="0" w:type="dxa"/>
        <w:right w:w="108" w:type="dxa"/>
      </w:tblCellMar>
      <w:tblLook w:val="0600"/>
    </w:tblPr>
    <w:tblGrid>
      <w:gridCol w:w="9071"/>
      <w:gridCol w:w="3021"/>
      <w:gridCol w:w="3020"/>
    </w:tblGrid>
    <w:tr>
      <w:trPr>
        <w:trHeight w:val="300" w:hRule="atLeast"/>
      </w:trPr>
      <w:tc>
        <w:tcPr>
          <w:tcW w:w="9071" w:type="dxa"/>
          <w:tcBorders/>
        </w:tcPr>
        <w:p>
          <w:pPr>
            <w:pStyle w:val="Normal1"/>
            <w:keepNext w:val="false"/>
            <w:keepLines w:val="false"/>
            <w:widowControl w:val="false"/>
            <w:pBdr/>
            <w:shd w:val="clear" w:fill="auto"/>
            <w:tabs>
              <w:tab w:val="clear" w:pos="720"/>
              <w:tab w:val="center" w:pos="4252" w:leader="none"/>
              <w:tab w:val="right" w:pos="8504" w:leader="none"/>
            </w:tabs>
            <w:spacing w:lineRule="auto" w:line="240" w:before="0" w:after="0"/>
            <w:ind w:left="-115"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ascii="Arial" w:hAnsi="Arial"/>
              <w:b w:val="false"/>
              <w:i w:val="false"/>
              <w:caps w:val="false"/>
              <w:smallCaps w:val="false"/>
              <w:strike w:val="false"/>
              <w:dstrike w:val="false"/>
              <w:color w:val="000000"/>
              <w:position w:val="0"/>
              <w:sz w:val="20"/>
              <w:sz w:val="20"/>
              <w:szCs w:val="20"/>
              <w:u w:val="none"/>
              <w:shd w:fill="auto" w:val="clear"/>
              <w:vertAlign w:val="baseline"/>
            </w:rPr>
            <w:t>TERMO DE CONTRATO ADMINISTRATIVO Nº XXXX/XXXX</w:t>
          </w:r>
        </w:p>
        <w:p>
          <w:pPr>
            <w:pStyle w:val="Normal1"/>
            <w:keepNext w:val="false"/>
            <w:keepLines w:val="false"/>
            <w:widowControl w:val="false"/>
            <w:pBdr/>
            <w:shd w:val="clear" w:fill="auto"/>
            <w:tabs>
              <w:tab w:val="clear" w:pos="720"/>
              <w:tab w:val="center" w:pos="4252" w:leader="none"/>
              <w:tab w:val="right" w:pos="8504" w:leader="none"/>
            </w:tabs>
            <w:spacing w:lineRule="auto" w:line="240" w:before="0" w:after="0"/>
            <w:ind w:left="-115" w:right="0" w:hanging="0"/>
            <w:jc w:val="lef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shd w:fill="auto" w:val="clear"/>
              <w:vertAlign w:val="baseline"/>
            </w:rPr>
          </w:r>
        </w:p>
      </w:tc>
      <w:tc>
        <w:tcPr>
          <w:tcW w:w="3021" w:type="dxa"/>
          <w:tcBorders/>
        </w:tcPr>
        <w:p>
          <w:pPr>
            <w:pStyle w:val="Normal1"/>
            <w:keepNext w:val="false"/>
            <w:keepLines w:val="false"/>
            <w:widowControl w:val="false"/>
            <w:pBdr/>
            <w:shd w:val="clear" w:fill="auto"/>
            <w:tabs>
              <w:tab w:val="clear" w:pos="720"/>
              <w:tab w:val="center" w:pos="4252" w:leader="none"/>
              <w:tab w:val="right" w:pos="8504" w:leader="none"/>
            </w:tabs>
            <w:spacing w:lineRule="auto" w:line="240" w:before="0" w:after="0"/>
            <w:ind w:left="0" w:right="0" w:hanging="0"/>
            <w:jc w:val="center"/>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shd w:fill="auto" w:val="clear"/>
              <w:vertAlign w:val="baseline"/>
            </w:rPr>
          </w:r>
        </w:p>
      </w:tc>
      <w:tc>
        <w:tcPr>
          <w:tcW w:w="3020" w:type="dxa"/>
          <w:tcBorders/>
        </w:tcPr>
        <w:p>
          <w:pPr>
            <w:pStyle w:val="Normal1"/>
            <w:keepNext w:val="false"/>
            <w:keepLines w:val="false"/>
            <w:widowControl w:val="false"/>
            <w:pBdr/>
            <w:shd w:val="clear" w:fill="auto"/>
            <w:tabs>
              <w:tab w:val="clear" w:pos="720"/>
              <w:tab w:val="center" w:pos="4252" w:leader="none"/>
              <w:tab w:val="right" w:pos="8504" w:leader="none"/>
            </w:tabs>
            <w:spacing w:lineRule="auto" w:line="240" w:before="0" w:after="0"/>
            <w:ind w:left="0" w:right="-115" w:hanging="0"/>
            <w:jc w:val="righ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shd w:fill="auto" w:val="clear"/>
              <w:vertAlign w:val="baseline"/>
            </w:rPr>
          </w:r>
        </w:p>
      </w:tc>
    </w:tr>
  </w:tbl>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left="0" w:right="0" w:hanging="0"/>
      <w:jc w:val="left"/>
      <w:rPr>
        <w:rFonts w:ascii="Ecofont_Spranq_eco_Sans" w:hAnsi="Ecofont_Spranq_eco_Sans" w:eastAsia="Ecofont_Spranq_eco_Sans" w:cs="Ecofont_Spranq_eco_Sans"/>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Ecofont_Spranq_eco_Sans" w:cs="Ecofont_Spranq_eco_Sans"/>
        <w:b w:val="false"/>
        <w:i w:val="false"/>
        <w:caps w:val="false"/>
        <w:smallCaps w:val="false"/>
        <w:strike w:val="false"/>
        <w:dstrike w:val="false"/>
        <w:color w:val="000000"/>
        <w:position w:val="0"/>
        <w:sz w:val="24"/>
        <w:sz w:val="24"/>
        <w:szCs w:val="24"/>
        <w:u w:val="none"/>
        <w:shd w:fill="auto" w:val="clear"/>
        <w:vertAlign w:val="baseline"/>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lvlText w:val="%1.%2.%3."/>
      <w:lvlJc w:val="left"/>
      <w:pPr>
        <w:tabs>
          <w:tab w:val="num" w:pos="0"/>
        </w:tabs>
        <w:ind w:left="1135" w:hanging="0"/>
      </w:pPr>
      <w:rPr>
        <w:i w:val="false"/>
        <w:b w:val="false"/>
      </w:rPr>
    </w:lvl>
    <w:lvl w:ilvl="3">
      <w:start w:val="1"/>
      <w:numFmt w:val="decimal"/>
      <w:lvlText w:val="%1.%2.%3.%4."/>
      <w:lvlJc w:val="left"/>
      <w:pPr>
        <w:tabs>
          <w:tab w:val="num" w:pos="0"/>
        </w:tabs>
        <w:ind w:left="851" w:hanging="0"/>
      </w:pPr>
      <w:rPr>
        <w:i w:val="false"/>
        <w:b/>
      </w:rPr>
    </w:lvl>
    <w:lvl w:ilvl="4">
      <w:start w:val="1"/>
      <w:numFmt w:val="decimal"/>
      <w:lvlText w:val="%1.%2.%3.%4.%5."/>
      <w:lvlJc w:val="left"/>
      <w:pPr>
        <w:tabs>
          <w:tab w:val="num" w:pos="0"/>
        </w:tabs>
        <w:ind w:left="1134" w:hanging="0"/>
      </w:pPr>
      <w:rPr>
        <w:i w:val="false"/>
        <w:b/>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000000"/>
      </w:rPr>
    </w:lvl>
    <w:lvl w:ilvl="2">
      <w:start w:val="1"/>
      <w:numFmt w:val="decimal"/>
      <w:lvlText w:val="%1.%2.%3."/>
      <w:lvlJc w:val="left"/>
      <w:pPr>
        <w:tabs>
          <w:tab w:val="num" w:pos="0"/>
        </w:tabs>
        <w:ind w:left="3198" w:hanging="503"/>
      </w:pPr>
      <w:rPr>
        <w:dstrike w:val="false"/>
        <w:strike w:val="false"/>
        <w:sz w:val="20"/>
        <w:i w:val="false"/>
        <w:b w:val="false"/>
        <w:szCs w:val="20"/>
        <w:rFonts w:ascii="Arial" w:hAnsi="Arial" w:eastAsia="Arial"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FF0000"/>
      </w:rPr>
    </w:lvl>
    <w:lvl w:ilvl="2">
      <w:start w:val="1"/>
      <w:numFmt w:val="decimal"/>
      <w:lvlText w:val="%1.%2.%3."/>
      <w:lvlJc w:val="left"/>
      <w:pPr>
        <w:tabs>
          <w:tab w:val="num" w:pos="0"/>
        </w:tabs>
        <w:ind w:left="3198" w:hanging="503"/>
      </w:pPr>
      <w:rPr>
        <w:dstrike w:val="false"/>
        <w:strike w:val="false"/>
        <w:sz w:val="20"/>
        <w:i w:val="false"/>
        <w:b w:val="false"/>
        <w:szCs w:val="20"/>
        <w:rFonts w:ascii="Arial" w:hAnsi="Arial" w:eastAsia="Arial"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000000"/>
      </w:rPr>
    </w:lvl>
    <w:lvl w:ilvl="2">
      <w:start w:val="1"/>
      <w:numFmt w:val="decimal"/>
      <w:lvlText w:val="%1.%2.%3."/>
      <w:lvlJc w:val="left"/>
      <w:pPr>
        <w:tabs>
          <w:tab w:val="num" w:pos="0"/>
        </w:tabs>
        <w:ind w:left="3198" w:hanging="503"/>
      </w:pPr>
      <w:rPr>
        <w:dstrike w:val="false"/>
        <w:strike w:val="false"/>
        <w:sz w:val="20"/>
        <w:i w:val="false"/>
        <w:b w:val="false"/>
        <w:szCs w:val="20"/>
        <w:rFonts w:ascii="Arial" w:hAnsi="Arial" w:eastAsia="Arial"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Ecofont_Spranq_eco_Sans" w:hAnsi="Ecofont_Spranq_eco_Sans" w:eastAsia="Ecofont_Spranq_eco_Sans" w:cs="Ecofont_Spranq_eco_Sans"/>
        <w:sz w:val="24"/>
        <w:szCs w:val="24"/>
        <w:lang w:val="pt-BR" w:eastAsia="zh-CN" w:bidi="hi-IN"/>
      </w:rPr>
    </w:rPrDefault>
    <w:pPrDefault>
      <w:pPr>
        <w:suppressAutoHyphens w:val="true"/>
      </w:pPr>
    </w:pPrDefault>
  </w:docDefaults>
  <w:style w:type="paragraph" w:styleId="Normal" w:default="1">
    <w:name w:val="Normal"/>
    <w:qFormat/>
    <w:rsid w:val="00ea3333"/>
    <w:pPr>
      <w:widowControl/>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1"/>
    <w:next w:val="Normal1"/>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1"/>
    <w:next w:val="Normal1"/>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1"/>
    <w:next w:val="Normal1"/>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1"/>
    <w:next w:val="Normal1"/>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5">
    <w:name w:val="Heading 5"/>
    <w:basedOn w:val="Normal1"/>
    <w:next w:val="Normal1"/>
    <w:qFormat/>
    <w:pPr>
      <w:keepNext w:val="true"/>
      <w:keepLines/>
      <w:pageBreakBefore w:val="false"/>
      <w:spacing w:lineRule="auto" w:line="240" w:before="220" w:after="40"/>
    </w:pPr>
    <w:rPr>
      <w:b/>
      <w:sz w:val="22"/>
      <w:szCs w:val="22"/>
    </w:rPr>
  </w:style>
  <w:style w:type="paragraph" w:styleId="Ttulo6">
    <w:name w:val="Heading 6"/>
    <w:basedOn w:val="Normal1"/>
    <w:next w:val="Normal1"/>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1"/>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1"/>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1"/>
    <w:qFormat/>
    <w:pPr>
      <w:suppressLineNumbers/>
      <w:spacing w:before="120" w:after="120"/>
    </w:pPr>
    <w:rPr>
      <w:rFonts w:cs="Arial"/>
      <w:i/>
      <w:iCs/>
      <w:sz w:val="24"/>
      <w:szCs w:val="24"/>
    </w:rPr>
  </w:style>
  <w:style w:type="paragraph" w:styleId="Ndice">
    <w:name w:val="Índice"/>
    <w:basedOn w:val="Normal1"/>
    <w:qFormat/>
    <w:pPr>
      <w:suppressLineNumbers/>
    </w:pPr>
    <w:rPr>
      <w:rFonts w:cs="Arial"/>
      <w:lang w:val="zxx" w:eastAsia="zxx" w:bidi="zxx"/>
    </w:rPr>
  </w:style>
  <w:style w:type="paragraph" w:styleId="Normal1" w:default="1">
    <w:name w:val="LO-normal"/>
    <w:qFormat/>
    <w:pPr>
      <w:widowControl/>
      <w:bidi w:val="0"/>
      <w:spacing w:before="0" w:after="0"/>
      <w:jc w:val="left"/>
    </w:pPr>
    <w:rPr>
      <w:rFonts w:ascii="Ecofont_Spranq_eco_Sans" w:hAnsi="Ecofont_Spranq_eco_Sans" w:eastAsia="Ecofont_Spranq_eco_Sans" w:cs="Ecofont_Spranq_eco_Sans"/>
      <w:color w:val="auto"/>
      <w:kern w:val="0"/>
      <w:sz w:val="24"/>
      <w:szCs w:val="24"/>
      <w:lang w:val="pt-BR" w:eastAsia="zh-CN" w:bidi="hi-IN"/>
    </w:rPr>
  </w:style>
  <w:style w:type="paragraph" w:styleId="Ttulododocumento">
    <w:name w:val="Title"/>
    <w:basedOn w:val="Normal1"/>
    <w:next w:val="Normal1"/>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1"/>
    <w:link w:val="PargrafodaListaChar"/>
    <w:uiPriority w:val="34"/>
    <w:qFormat/>
    <w:rsid w:val="004773fc"/>
    <w:pPr>
      <w:spacing w:before="0" w:after="0"/>
      <w:ind w:left="720" w:hanging="0"/>
      <w:contextualSpacing/>
    </w:pPr>
    <w:rPr/>
  </w:style>
  <w:style w:type="paragraph" w:styleId="NormalWeb">
    <w:name w:val="Normal (Web)"/>
    <w:basedOn w:val="Normal1"/>
    <w:uiPriority w:val="99"/>
    <w:qFormat/>
    <w:rsid w:val="006b156a"/>
    <w:pPr>
      <w:spacing w:beforeAutospacing="1" w:afterAutospacing="1"/>
    </w:pPr>
    <w:rPr>
      <w:rFonts w:ascii="Times New Roman" w:hAnsi="Times New Roman" w:cs="Times New Roman"/>
    </w:rPr>
  </w:style>
  <w:style w:type="paragraph" w:styleId="BalloonText">
    <w:name w:val="Balloon Text"/>
    <w:basedOn w:val="Normal1"/>
    <w:link w:val="TextodebaloChar"/>
    <w:uiPriority w:val="99"/>
    <w:qFormat/>
    <w:rsid w:val="003a73c1"/>
    <w:pPr/>
    <w:rPr>
      <w:rFonts w:ascii="Tahoma" w:hAnsi="Tahoma"/>
      <w:sz w:val="16"/>
      <w:szCs w:val="16"/>
    </w:rPr>
  </w:style>
  <w:style w:type="paragraph" w:styleId="Nvel2" w:customStyle="1">
    <w:name w:val="Nível 2"/>
    <w:basedOn w:val="Normal1"/>
    <w:next w:val="Normal1"/>
    <w:qFormat/>
    <w:rsid w:val="00d30a43"/>
    <w:pPr>
      <w:spacing w:before="0" w:after="120"/>
      <w:jc w:val="both"/>
    </w:pPr>
    <w:rPr>
      <w:rFonts w:ascii="Arial" w:hAnsi="Arial" w:cs="Times New Roman"/>
      <w:b/>
      <w:szCs w:val="20"/>
    </w:rPr>
  </w:style>
  <w:style w:type="paragraph" w:styleId="Quote">
    <w:name w:val="Quote"/>
    <w:basedOn w:val="Normal1"/>
    <w:next w:val="Normal1"/>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1"/>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1"/>
    <w:qFormat/>
    <w:pPr/>
    <w:rPr/>
  </w:style>
  <w:style w:type="paragraph" w:styleId="Cabealho">
    <w:name w:val="Header"/>
    <w:basedOn w:val="Normal1"/>
    <w:link w:val="CabealhoChar"/>
    <w:uiPriority w:val="99"/>
    <w:rsid w:val="00ca24fb"/>
    <w:pPr>
      <w:tabs>
        <w:tab w:val="clear" w:pos="720"/>
        <w:tab w:val="center" w:pos="4252" w:leader="none"/>
        <w:tab w:val="right" w:pos="8504" w:leader="none"/>
      </w:tabs>
    </w:pPr>
    <w:rPr/>
  </w:style>
  <w:style w:type="paragraph" w:styleId="Rodap">
    <w:name w:val="Footer"/>
    <w:basedOn w:val="Normal1"/>
    <w:link w:val="RodapChar"/>
    <w:uiPriority w:val="99"/>
    <w:rsid w:val="00ca24fb"/>
    <w:pPr>
      <w:tabs>
        <w:tab w:val="clear" w:pos="720"/>
        <w:tab w:val="center" w:pos="4252" w:leader="none"/>
        <w:tab w:val="right" w:pos="8504" w:leader="none"/>
      </w:tabs>
    </w:pPr>
    <w:rPr/>
  </w:style>
  <w:style w:type="paragraph" w:styleId="Annotationtext">
    <w:name w:val="annotation text"/>
    <w:basedOn w:val="Normal1"/>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1"/>
    <w:link w:val="Nivel01Char"/>
    <w:qFormat/>
    <w:rsid w:val="001958d0"/>
    <w:pPr>
      <w:numPr>
        <w:ilvl w:val="0"/>
        <w:numId w:val="1"/>
      </w:numPr>
      <w:tabs>
        <w:tab w:val="clear" w:pos="720"/>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1"/>
    <w:next w:val="Normal1"/>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1"/>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1"/>
    <w:qFormat/>
    <w:rsid w:val="00d30a43"/>
    <w:pPr>
      <w:ind w:left="720" w:hanging="0"/>
    </w:pPr>
    <w:rPr>
      <w:rFonts w:eastAsia="Times New Roman" w:cs="Ecofont_Spranq_eco_Sans"/>
    </w:rPr>
  </w:style>
  <w:style w:type="paragraph" w:styleId="Nivel2" w:customStyle="1">
    <w:name w:val="Nivel 2"/>
    <w:basedOn w:val="Normal1"/>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1"/>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1"/>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1"/>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1"/>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1"/>
    <w:next w:val="Normal1"/>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1"/>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1"/>
    <w:qFormat/>
    <w:rsid w:val="00d30a43"/>
    <w:pPr>
      <w:ind w:firstLine="1134"/>
      <w:jc w:val="both"/>
    </w:pPr>
    <w:rPr>
      <w:rFonts w:ascii="Times New Roman" w:hAnsi="Times New Roman" w:eastAsia="Times New Roman" w:cs="Times New Roman"/>
      <w:szCs w:val="22"/>
      <w:lang w:eastAsia="en-US"/>
    </w:rPr>
  </w:style>
  <w:style w:type="paragraph" w:styleId="Normal11" w:customStyle="1">
    <w:name w:val="Normal_1"/>
    <w:qFormat/>
    <w:rsid w:val="00d30a43"/>
    <w:pPr>
      <w:widowControl/>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1"/>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1"/>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1"/>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1"/>
    <w:next w:val="Normal1"/>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1"/>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1"/>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1"/>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1"/>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1"/>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1"/>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Subttulo">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leNormal">
    <w:name w:val="Table Normal"/>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RLwgRDEAPRWwri7/tNVUF4c/8PQ==">CgMxLjAaJwoBMBIiCiAIBCocCgtBQUFBNmZzRWQ3URAIGgtBQUFBNmZzRWQ3URonCgExEiIKIAgEKhwKC0FBQUE2ZnNFZDdREAgaC0FBQUE2ZnNFZUN3GicKATISIgogCAQqHAoLQUFBQTZmc0VkN1EQCBoLQUFBQTdtU1FKTFUaJwoBMxIiCiAIBCocCgtBQUFBNmZzRWQ3URAIGgtBQUFBN21TUUptOBonCgE0EiIKIAgEKhwKC0FBQUE2ZnNFZDdREAgaC0FBQUE3bVNRSnowGicKATUSIgogCAQqHAoLQUFBQTZmc0VkN00QCBoLQUFBQTZmc0VkN00aJwoBNhIiCiAIBCocCgtBQUFBNmZzRWQ3TRAIGgtBQUFBN21TUUpMaxonCgE3EiIKIAgEKhwKC0FBQUE2ZnNFZUM4EAgaC0FBQUE2ZnNFZUM4GicKATgSIgogCAQqHAoLQUFBQTZmc0VlQzgQCBoLQUFBQTdtU1FKTHcaJwoBORIiCiAIBCocCgtBQUFBNmZzRWQ3SRAIGgtBQUFBNmZzRWQ3SRooCgIxMBIiCiAIBCocCgtBQUFBNmZzRWQ3SRAIGgtBQUFBNmZzRWQ3YxooCgIxMRIiCiAIBCocCgtBQUFBNmZzRWVETRAIGgtBQUFBNmZzRWVETRooCgIxMhIiCiAIBCocCgtBQUFBNmZzRWVETRAIGgtBQUFBN21TUUpNWRooCgIxMxIiCiAIBCocCgtBQUFBNmZzRWQ4QRAIGgtBQUFBNmZzRWQ4QRooCgIxNBIiCiAIBCocCgtBQUFBNmZzRWQ4QRAIGgtBQUFBN21TUUpNaxooCgIxNRIiCiAIBCocCgtBQUFBN21TUUpzaxAIGgtBQUFBN21TUUpzaxooCgIxNhIiCiAIBCocCgtBQUFBN21TUUpzaxAIGgtBQUFBNmJxczNLRRooCgIxNxIiCiAIBCocCgtBQUFBN21TUUpQVRAIGgtBQUFBN21TUUpQVRooCgIxOBIiCiAIBCocCgtBQUFBN21TUUpQVRAIGgtBQUFBN21TUUpQWRooCgIxORIiCiAIBCocCgtBQUFBN21TUUpQVRAIGgtBQUFBN21TUUpabxooCgIyMBIiCiAIBCocCgtBQUFBN21TUUpQVRAIGgtBQUFBN21TUUp0ZxooCgIyMRIiCiAIBCocCgtBQUFBN21TUUpzcxAIGgtBQUFBN21TUUpzcxooCgIyMhIiCiAIBCocCgtBQUFBN21TUUpzcxAIGgtBQUFBNmJxczNLSRooCgIyMxIiCiAIBCocCgtBQUFBN21TUUpzcxAIGgtBQUFBNmNIMm9PWRooCgIyNBIiCiAIBCocCgtBQUFBNmZzRWQtaxAIGgtBQUFBNmZzRWQtaxooCgIyNRIiCiAIBCocCgtBQUFBNmZzRWQtaxAIGgtBQUFBN21TUUpNcxooCgIyNhIiCiAIBCocCgtBQUFBNmZzRWQtaxAIGgtBQUFBN21TUUpvURooCgIyNxIiCiAIBCocCgtBQUFBNmZzRWQtaxAIGgtBQUFBN21TUUp1dyL7BwoLQUFBQTZmc0VkN0kS0QcKC0FBQUE2ZnNFZDdJEgtBQUFBNmZzRWQ3SRqSAQoJdGV4dC9odG1sEoQBTm90YSBleHBsaWNhdGl2YTogQ2FzbyBzZSB0cmF0ZSBkZSBjb250cmF0byBkZSB2YWxvciBlc3RpbWF0aXZvLCBlbSBxdWUgYSBwcsOzcHJpYSBkZW1hbmRhIMOpIHZhcmnDoXZlbCwgY2FiZSBpbnNlcmlyIG8gc3ViaXRlbSA1LjQuIpMBCgp0ZXh0L3BsYWluEoQBTm90YSBleHBsaWNhdGl2YTogQ2FzbyBzZSB0cmF0ZSBkZSBjb250cmF0byBkZSB2YWxvciBlc3RpbWF0aXZvLCBlbSBxdWUgYSBwcsOzcHJpYSBkZW1hbmRhIMOpIHZhcmnDoXZlbCwgY2FiZSBpbnNlcmlyIG8gc3ViaXRlbSA1LjQuKj4KBUF1dG9yGjUvL3NzbC5nc3RhdGljLmNvbS9kb2NzL2NvbW1vbi9ibHVlX3NpbGhvdWV0dGU5Ni0wLnBuZzD4tvv7rzE4uP7H/K8xQtoCCgtBQUFBNmZzRWQ3YxILQUFBQTZmc0VkN0kaUgoJdGV4dC9odG1sEkVDb21vIHRlbSBvIElNUiwgdmFpIGRlcGVuZGVyIGRvcyBxdWFudGl0YXRpdm9zIGVudHJlZ3VlcyBwZWxhIGVtcHJlc2EiUwoKdGV4dC9wbGFpbhJFQ29tbyB0ZW0gbyBJTVIsIHZhaSBkZXBlbmRlciBkb3MgcXVhbnRpdGF0aXZvcyBlbnRyZWd1ZXMgcGVsYSBlbXByZXNhKhsiFTEwODUzMTkyMzU3NzQxMDMzNjQ4MygAOAAwuP7H/K8xOLj+x/yvMVoLYWI4emZhbHY0YjRyAiAAeACaAQYIABAAGACqAUcSRUNvbW8gdGVtIG8gSU1SLCB2YWkgZGVwZW5kZXIgZG9zIHF1YW50aXRhdGl2b3MgZW50cmVndWVzIHBlbGEgZW1wcmVzYbABALgBAHJACgVBdXRvcho3CjUvL3NzbC5nc3RhdGljLmNvbS9kb2NzL2NvbW1vbi9ibHVlX3NpbGhvdWV0dGU5Ni0wLnBuZ3gAiAEBmgEGCAAQABgAqgGHARKEAU5vdGEgZXhwbGljYXRpdmE6IENhc28gc2UgdHJhdGUgZGUgY29udHJhdG8gZGUgdmFsb3IgZXN0aW1hdGl2bywgZW0gcXVlIGEgcHLDs3ByaWEgZGVtYW5kYSDDqSB2YXJpw6F2ZWwsIGNhYmUgaW5zZXJpciBvIHN1Yml0ZW0gNS40LrABALgBARj4tvv7rzEguP7H/K8xMABCCGtpeC5jbXQwItUSCgtBQUFBN21TUUpzcxKjEgoLQUFBQTdtU1FKc3MSC0FBQUE3bVNRSnNzGvUCCgl0ZXh0L2h0bWwS5wJAPGEgaHJlZj0ibWFpbHRvOmxpY2l0YWNhb0BpYmlydWJhLmlmcnMuZWR1LmJyIiBkYXRhLXJhd0hyZWY9Im1haWx0bzpsaWNpdGFjYW9AaWJpcnViYS5pZnJzLmVkdS5iciIgdGFyZ2V0PSJfYmxhbmsiPmxpY2l0YWNhb0BpYmlydWJhLmlmcnMuZWR1LmJyPC9hPsKgPGJyPmFxdWkgbsOjbyBwb2RlbW9zIHVuaWZpY2FyLCBmaWNhbmRvOsKgUGFyYSBpbmZyYcOnw6NvIGRlc2NyaXRhIG5hIGFsw61uZWEg4oCcYuKAnSBlICZxdW90O2QmcXVvdDsgZG8gc3ViaXRlbSAxMi4xLCBhIG11bHRhIHNlcsOhIGRlIDUlIGEgMjAlIGRvIHZhbG9yIGRvIENvbnRyYXRvLjxicj5Qb2lzIG9zIHBlcmNlbnR1YWlzIGZpY2FyYW0gb3MgbWVzbW9zLiLvAQoKdGV4dC9wbGFpbhLgAUBsaWNpdGFjYW9AaWJpcnViYS5pZnJzLmVkdS5icsKgCmFxdWkgbsOjbyBwb2RlbW9zIHVuaWZpY2FyLCBmaWNhbmRvOsKgUGFyYSBpbmZyYcOnw6NvIGRlc2NyaXRhIG5hIGFsw61uZWEg4oCcYuKAnSBlICJkIiBkbyBzdWJpdGVtIDEyLjEsIGEgbXVsdGEgc2Vyw6EgZGUgNSUgYSAyMCUgZG8gdmFsb3IgZG8gQ29udHJhdG8uClBvaXMgb3MgcGVyY2VudHVhaXMgZmljYXJhbSBvcyBtZXNtb3MuKhsiFTExMjIyNzk5MjAxNjg4NDk4NjMyMSgAOAAwmYP9iLAxOMrygaWwMULtAwoLQUFBQTZicXMzS0kSC0FBQUE3bVNRSnNzGoIBCgl0ZXh0L2h0bWwSdVBvZGVtb3MsIHNpbS4gU8OzIGxlbWJyYW5kbyBxdWUgZXNzYXMgcG9yY2VudGFnZW5zIGZvcmFtIGluc2VyaWRhcyBwb3IgbWltLiBTZSBtYW50ZXJtb3MgYXNzaW0gcG9kZW1vcyB1bmlmaWNhciwgc2ltLiKDAQoKdGV4dC9wbGFpbhJ1UG9kZW1vcywgc2ltLiBTw7MgbGVtYnJhbmRvIHF1ZSBlc3NhcyBwb3JjZW50YWdlbnMgZm9yYW0gaW5zZXJpZGFzIHBvciBtaW0uIFNlIG1hbnRlcm1vcyBhc3NpbSBwb2RlbW9zIHVuaWZpY2FyLCBzaW0uKhsiFTEwNzU2OTk0MzE4NzM3Njg1NzkzMigAOAAw5NSbkLAxOOTUm5CwMVoMdjEzN2s3OTZ4bGg3cgIgAHgAmgEGCAAQABgAqgF3EnVQb2RlbW9zLCBzaW0uIFPDsyBsZW1icmFuZG8gcXVlIGVzc2FzIHBvcmNlbnRhZ2VucyBmb3JhbSBpbnNlcmlkYXMgcG9yIG1pbS4gU2UgbWFudGVybW9zIGFzc2ltIHBvZGVtb3MgdW5pZmljYXIsIHNpbS6wAQC4AQBC3wMKC0FBQUE2Y0gyb09ZEgtBQUFBN21TUUpzcxp+Cgl0ZXh0L2h0bWwScWFjaG8gcXVlIGVzc2FzIGVzcGVjaWZpY2HDp8O1ZXMgYXV4aWxpYW0sIGNhc28gdGVuaGEgcXVlIHBlbmFsaXphci4gRXN0b3UgZGUgYWNvcmRvIGNvbSBvcyBwZXJjZW50dWFpcyBzdWdlcmlkb3MsIn8KCnRleHQvcGxhaW4ScWFjaG8gcXVlIGVzc2FzIGVzcGVjaWZpY2HDp8O1ZXMgYXV4aWxpYW0sIGNhc28gdGVuaGEgcXVlIHBlbmFsaXphci4gRXN0b3UgZGUgYWNvcmRvIGNvbSBvcyBwZXJjZW50dWFpcyBzdWdlcmlkb3MsKhsiFTExMjIyNzk5MjAxNjg4NDk4NjMyMSgAOAAwyvKBpbAxOMrygaWwMVoMbWptZ2tueXhqbTAwcgIgAHgAmgEGCAAQABgAqgFzEnFhY2hvIHF1ZSBlc3NhcyBlc3BlY2lmaWNhw6fDtWVzIGF1eGlsaWFtLCBjYXNvIHRlbmhhIHF1ZSBwZW5hbGl6YXIuIEVzdG91IGRlIGFjb3JkbyBjb20gb3MgcGVyY2VudHVhaXMgc3VnZXJpZG9zLLABALgBAErsAQoKdGV4dC9wbGFpbhLdAVBhcmEgaW5mcmHDp8OjbyBkZXNjcml0YSBuYSBhbMOtbmVhIOKAnGLigJ0gZG8gc3ViaXRlbSAxMi4xLCBhIG11bHRhIHNlcsOhIGRlIDUlIGEgMjAlICBkbyB2YWxvciBkbyBDb250cmF0by4KUGFyYSBpbmZyYcOnw7VlcyBkZXNjcml0YXMgbmEgYWzDrW5lYSDigJxk4oCdIGRvIHN1Yml0ZW0gMTIuMSwgYSBtdWx0YSBzZXLDoSBkZSA1JSBhIDIwJSAgZG8gdmFsb3IgZG8gQ29udHJhdG8uUARaDDduMXBkbTk3NDRiM3ICIAB4AJIBHQobIhUxMDg1MzE5MjM1Nzc0MTAzMzY0ODMoADgAmgEGCAAQABgAqgHqAhLnAkA8YSBocmVmPSJtYWlsdG86bGljaXRhY2FvQGliaXJ1YmEuaWZycy5lZHUuYnIiIGRhdGEtcmF3aHJlZj0ibWFpbHRvOmxpY2l0YWNhb0BpYmlydWJhLmlmcnMuZWR1LmJyIiB0YXJnZXQ9Il9ibGFuayI+bGljaXRhY2FvQGliaXJ1YmEuaWZycy5lZHUuYnI8L2E+wqA8YnI+YXF1aSBuw6NvIHBvZGVtb3MgdW5pZmljYXIsIGZpY2FuZG86wqBQYXJhIGluZnJhw6fDo28gZGVzY3JpdGEgbmEgYWzDrW5lYSDigJxi4oCdIGUgJnF1b3Q7ZCZxdW90OyBkbyBzdWJpdGVtIDEyLjEsIGEgbXVsdGEgc2Vyw6EgZGUgNSUgYSAyMCUgZG8gdmFsb3IgZG8gQ29udHJhdG8uPGJyPlBvaXMgb3MgcGVyY2VudHVhaXMgZmljYXJhbSBvcyBtZXNtb3MusAEAuAEAGJmD/YiwMSDK8oGlsDEwAEIQa2l4LmdpcnpmejZyZGR3aCKsDwoLQUFBQTZmc0VkLWsS+g4KC0FBQUE2ZnNFZC1rEgtBQUFBNmZzRWQtaxqAAQoJdGV4dC9odG1sEnNBcXVpIGV1IGZpcXVlaSBuYSBkw7p2aWRhLCB0b2RvIGluw61jaW8gZGUgYW5vIHRlbSBxdWUgZmF6ZXIgdW0gYXBvc3RpbGFtZW50byBpbmNsdWluZG8gYSBkb3Rhw6fDo28gb3LDp2FtZW50w6FyaWE/IoEBCgp0ZXh0L3BsYWluEnNBcXVpIGV1IGZpcXVlaSBuYSBkw7p2aWRhLCB0b2RvIGluw61jaW8gZGUgYW5vIHRlbSBxdWUgZmF6ZXIgdW0gYXBvc3RpbGFtZW50byBpbmNsdWluZG8gYSBkb3Rhw6fDo28gb3LDp2FtZW50w6FyaWE/KhsiFTEwODUzMTkyMzU3NzQxMDMzNjQ4MygAOAAw+tvH/q8xOIrtn4mwMULuAwoLQUFBQTdtU1FKTXMSC0FBQUE2ZnNFZC1rGoYBCgl0ZXh0L2h0bWwSeUFjcmVkaXRvIHF1ZSBubyBtb21lbnRvIGRvIFJlYWp1c3RlLCBwb3JxdWUgbsOjbyBkaXogJnF1b3Q7aW1lZGlhdGFtZW50ZSZxdW90OyBhcMOzcyBhIGFwcm92YcOnw6NvIGRhIExlaSBPcsOnYW1lbnTDoXJpYS4ifQoKdGV4dC9wbGFpbhJvQWNyZWRpdG8gcXVlIG5vIG1vbWVudG8gZG8gUmVhanVzdGUsIHBvcnF1ZSBuw6NvIGRpeiAiaW1lZGlhdGFtZW50ZSIgYXDDs3MgYSBhcHJvdmHDp8OjbyBkYSBMZWkgT3LDp2FtZW50w6FyaWEuKhsiFTEwNzU2OTk0MzE4NzM3Njg1NzkzMigAOAAwjY71hrAxOPbz+oawMVoMMzd0anE5OTNleHdycgIgAHgAmgEGCAAQABgAqgF7EnlBY3JlZGl0byBxdWUgbm8gbW9tZW50byBkbyBSZWFqdXN0ZSwgcG9ycXVlIG7Do28gZGl6ICZxdW90O2ltZWRpYXRhbWVudGUmcXVvdDsgYXDDs3MgYSBhcHJvdmHDp8OjbyBkYSBMZWkgT3LDp2FtZW50w6FyaWEusAEAuAEAQr8BCgtBQUFBN21TUUpvURILQUFBQTZmc0VkLWsaHgoJdGV4dC9odG1sEhFEYcOtIMOpIHRyYW5xdWlsbyIfCgp0ZXh0L3BsYWluEhFEYcOtIMOpIHRyYW5xdWlsbyobIhUxMDg1MzE5MjM1Nzc0MTAzMzY0ODMoADgAMOLwv4iwMTji8L+IsDFaDGpocmltZDdjZ2tzNHICIAB4AJoBBggAEAAYAKoBExIRRGHDrSDDqSB0cmFucXVpbG+wAQC4AQBCwAUKC0FBQUE3bVNRSnV3EgtBQUFBNmZzRWQtaxrIAQoJdGV4dC9odG1sEroBTGlzYW5kcmEsIHBlbGEgbGVpIHRvZGEgdmV6IHF1ZSBvY29ycmVyIGFsdGVyYcOnw6NvIG5hIGRvdGHDp8OjbyBvcsOnYW1lbnTDoXJpYSAoZm9udGUvUFRSRVMpIGRldmVyw6Egc2VyIGFwb3N0aWxhZG8sIHBvcsOpbSwgc8OzIGVzdGFtb3MgYXR1YWxpemFuZG8ganVudGFtZW50ZSBjb20gcmVhanVzdGUvcmVub3Zhw6fDo28uIskBCgp0ZXh0L3BsYWluEroBTGlzYW5kcmEsIHBlbGEgbGVpIHRvZGEgdmV6IHF1ZSBvY29ycmVyIGFsdGVyYcOnw6NvIG5hIGRvdGHDp8OjbyBvcsOnYW1lbnTDoXJpYSAoZm9udGUvUFRSRVMpIGRldmVyw6Egc2VyIGFwb3N0aWxhZG8sIHBvcsOpbSwgc8OzIGVzdGFtb3MgYXR1YWxpemFuZG8ganVudGFtZW50ZSBjb20gcmVhanVzdGUvcmVub3Zhw6fDo28uKhsiFTExMjIyNzk5MjAxNjg4NDk4NjMyMSgAOAAwlJedibAxOIrtn4mwMVoMajYzbTIxeHlheXhtcgIgAHgAmgEGCAAQABgAqgG9ARK6AUxpc2FuZHJhLCBwZWxhIGxlaSB0b2RhIHZleiBxdWUgb2NvcnJlciBhbHRlcmHDp8OjbyBuYSBkb3Rhw6fDo28gb3LDp2FtZW50w6FyaWEgKGZvbnRlL1BUUkVTKSBkZXZlcsOhIHNlciBhcG9zdGlsYWRvLCBwb3LDqW0sIHPDsyBlc3RhbW9zIGF0dWFsaXphbmRvIGp1bnRhbWVudGUgY29tIHJlYWp1c3RlL3Jlbm92YcOnw6NvLrABALgBAEobCgp0ZXh0L3BsYWluEg1hcG9zdGlsYW1lbnRvWgxtZ2I1YzBoZXByaGlyAiAAeACaAQYIABAAGACqAXUSc0FxdWkgZXUgZmlxdWVpIG5hIGTDunZpZGEsIHRvZG8gaW7DrWNpbyBkZSBhbm8gdGVtIHF1ZSBmYXplciB1bSBhcG9zdGlsYW1lbnRvIGluY2x1aW5kbyBhIGRvdGHDp8OjbyBvcsOnYW1lbnTDoXJpYT+wAQC4AQAY+tvH/q8xIIrtn4mwMTAAQhBraXguZ3MwaTh5YTczbmRnIp0VCgtBQUFBN21TUUpQVRLrFAoLQUFBQTdtU1FKUFUSC0FBQUE3bVNRSlBVGr8CCgl0ZXh0L2h0bWwSsQJAPGEgaHJlZj0ibWFpbHRvOmxpc2FuZHJhLmJhcmFzdW9sQGliaXJ1YmEuaWZycy5lZHUuYnIiIGRhdGEtcmF3SHJlZj0ibWFpbHRvOmxpc2FuZHJhLmJhcmFzdW9sQGliaXJ1YmEuaWZycy5lZHUuYnIiIHRhcmdldD0iX2JsYW5rIj5saXNhbmRyYS5iYXJhc3VvbEBpYmlydWJhLmlmcnMuZWR1LmJyPC9hPiBAPGEgaHJlZj0ibWFpbHRvOmRhcEBpYmlydWJhLmlmcnMuZWR1LmJyIiBkYXRhLXJhd0hyZWY9Im1haWx0bzpkYXBAaWJpcnViYS5pZnJzLmVkdS5iciIgdGFyZ2V0PSJfYmxhbmsiPmRhcEBpYmlydWJhLmlmcnMuZWR1LmJyPC9hPiJNCgp0ZXh0L3BsYWluEj9AbGlzYW5kcmEuYmFyYXN1b2xAaWJpcnViYS5pZnJzLmVkdS5iciBAZGFwQGliaXJ1YmEuaWZycy5lZHUuYnIqGyIVMTA3NTY5OTQzMTg3Mzc2ODU3OTMyKAA4ADCZyJyHsDE44LGCibAxQsMCCgtBQUFBN21TUUpQWRILQUFBQTdtU1FKUFUaSgoJdGV4dC9odG1sEj1Fc3NhcyBwb3JjZW50YWdlbnMgZXUgcXVlIGluY2x1w60uIE5hIG1pbnV0YSBlc3TDoSBlbSBhYmVydG8uIksKCnRleHQvcGxhaW4SPUVzc2FzIHBvcmNlbnRhZ2VucyBldSBxdWUgaW5jbHXDrS4gTmEgbWludXRhIGVzdMOhIGVtIGFiZXJ0by4qGyIVMTA3NTY5OTQzMTg3Mzc2ODU3OTMyKAA4ADCexp6HsDE4nsaeh7AxWgxlcW9uanFiaXNsd29yAiAAeACaAQYIABAAGACqAT8SPUVzc2FzIHBvcmNlbnRhZ2VucyBldSBxdWUgaW5jbHXDrS4gTmEgbWludXRhIGVzdMOhIGVtIGFiZXJ0by6wAQC4AQBCnAQKC0FBQUE3bVNRSlpvEgtBQUFBN21TUUpQVRqVAQoJdGV4dC9odG1sEocBQ29tbyBpdGVtIGVzcGVjw61maWNvIGRlIGluZXhlY3XDp8OjbyBwYXJjaWFsIGFsZ28gY29tbyBuw6NvIHByZXN0YXIgbyBzZXJ2acOnbyBwb3IgJnF1b3Q7NjAgZGlhcyZxdW90OyBvdSBhdGVuZGVyIHNvbWVudGUgdW0gZG9zIGl0ZW5zIosBCgp0ZXh0L3BsYWluEn1Db21vIGl0ZW0gZXNwZWPDrWZpY28gZGUgaW5leGVjdcOnw6NvIHBhcmNpYWwgYWxnbyBjb21vIG7Do28gcHJlc3RhciBvIHNlcnZpw6dvIHBvciAiNjAgZGlhcyIgb3UgYXRlbmRlciBzb21lbnRlIHVtIGRvcyBpdGVucyobIhUxMDg1MzE5MjM1Nzc0MTAzMzY0ODMoADgAMKqD2IewMTiqg9iHsDFaDGx1bG82d2IzYWM4aXICIAB4AJoBBggAEAAYAKoBigEShwFDb21vIGl0ZW0gZXNwZWPDrWZpY28gZGUgaW5leGVjdcOnw6NvIHBhcmNpYWwgYWxnbyBjb21vIG7Do28gcHJlc3RhciBvIHNlcnZpw6dvIHBvciAmcXVvdDs2MCBkaWFzJnF1b3Q7IG91IGF0ZW5kZXIgc29tZW50ZSB1bSBkb3MgaXRlbnOwAQC4AQBCpQIKC0FBQUE3bVNRSnRnEgtBQUFBN21TUUpQVRpACgl0ZXh0L2h0bWwSM2V1IGNvbmNvcmRvIGNvbSBvcyBwZXJjZW50dWFpcyBxdWUgZm9yYW0gcHJvcG9zdG9zLiJBCgp0ZXh0L3BsYWluEjNldSBjb25jb3JkbyBjb20gb3MgcGVyY2VudHVhaXMgcXVlIGZvcmFtIHByb3Bvc3Rvcy4qGyIVMTEyMjI3OTkyMDE2ODg0OTg2MzIxKAA4ADDgsYKJsDE44LGCibAxWgxsZ3E4NWJ1b2w2ZzJyAiAAeACaAQYIABAAGACqATUSM2V1IGNvbmNvcmRvIGNvbSBvcyBwZXJjZW50dWFpcyBxdWUgZm9yYW0gcHJvcG9zdG9zLrABALgBAEqJBQoKdGV4dC9wbGFpbhL6BENvbXBlbnNhdMOzcmlhLCBwYXJhIGFzIGluZnJhw6fDtWVzIGRlc2NyaXRhcyBuYXMgYWzDrW5lYXMg4oCcZeKAnSBhIOKAnGjigJ0gZG8gc3ViaXRlbSAxMi4xLCBkZSAxMCUgYSAzMCUgZG8gdmFsb3IgZG8gQ29udHJhdG8uCkNvbXBlbnNhdMOzcmlhLCBwYXJhIGEgaW5leGVjdcOnw6NvIHRvdGFsIGRvIGNvbnRyYXRvIHByZXZpc3RhIG5hIGFsw61uZWEg4oCcY+KAnSBkbyBzdWJpdGVtIDEyLjEsIGRlIDUlIGEgMjUlICBkbyB2YWxvciBkbyBDb250cmF0by4gClBhcmEgaW5mcmHDp8OjbyBkZXNjcml0YSBuYSBhbMOtbmVhIOKAnGLigJ0gZG8gc3ViaXRlbSAxMi4xLCBhIG11bHRhIHNlcsOhIGRlIDUlIGEgMjAlICBkbyB2YWxvciBkbyBDb250cmF0by4KUGFyYSBpbmZyYcOnw7VlcyBkZXNjcml0YXMgbmEgYWzDrW5lYSDigJxk4oCdIGRvIHN1Yml0ZW0gMTIuMSwgYSBtdWx0YSBzZXLDoSBkZSA1JSBhIDIwJSAgZG8gdmFsb3IgZG8gQ29udHJhdG8uClBhcmEgYSBpbmZyYcOnw6NvIGRlc2NyaXRhIG5hIGFsw61uZWEg4oCcYeKAnSBkbyBzdWJpdGVtIDEyLjEsIGEgbXVsdGEgc2Vyw6EgZGUgMiUgYSAxNSUgZG8gdmFsb3IgZG8gQ29udHJhdG8sIHJlc3NhbHZhZGFzIGFzIHNlZ3VpbnRlcyBpbmZyYcOnw7VlczpQBFoLdTYzY25zbXNzZDlyAiAAeACSAR0KGyIVMTEyMjI3OTkyMDE2ODg0OTg2MzIxKAA4AJoBBggAEAAYAKoBtAISsQJAPGEgaHJlZj0ibWFpbHRvOmxpc2FuZHJhLmJhcmFzdW9sQGliaXJ1YmEuaWZycy5lZHUuYnIiIGRhdGEtcmF3aHJlZj0ibWFpbHRvOmxpc2FuZHJhLmJhcmFzdW9sQGliaXJ1YmEuaWZycy5lZHUuYnIiIHRhcmdldD0iX2JsYW5rIj5saXNhbmRyYS5iYXJhc3VvbEBpYmlydWJhLmlmcnMuZWR1LmJyPC9hPiBAPGEgaHJlZj0ibWFpbHRvOmRhcEBpYmlydWJhLmlmcnMuZWR1LmJyIiBkYXRhLXJhd2hyZWY9Im1haWx0bzpkYXBAaWJpcnViYS5pZnJzLmVkdS5iciIgdGFyZ2V0PSJfYmxhbmsiPmRhcEBpYmlydWJhLmlmcnMuZWR1LmJyPC9hPrABALgBABiZyJyHsDEg4LGCibAxMABCEGtpeC4xcGR3czE2c3UweGYiiwoKC0FBQUE2ZnNFZURNEtkJCgtBQUFBNmZzRWVETRILQUFBQTZmc0VlRE0aqgIKCXRleHQvaHRtbBKcAkA8YSBocmVmPSJtYWlsdG86bGljaXRhY2FvQGliaXJ1YmEuaWZycy5lZHUuYnIiIGRhdGEtcmF3SHJlZj0ibWFpbHRvOmxpY2l0YWNhb0BpYmlydWJhLmlmcnMuZWR1LmJyIiB0YXJnZXQ9Il9ibGFuayI+bGljaXRhY2FvQGliaXJ1YmEuaWZycy5lZHUuYnI8L2E+wqA8YnI+PGJyPkFuZHLDqSwgZXNzYSBpbmZvcm1hw6fDo28gZW50ZW5kbyBxdWUgasOhIHBvZGVtb3MgY2l0YXIuPGJyPjxicj5BIGRhdGEgZG8gb3LDp2FtZW50byBlc3RpbWFkbyBjb25zaWRlcmFyw6EgbyBtYXBhIGRlIHByZcOnb3M/IqgBCgp0ZXh0L3BsYWluEpkBQGxpY2l0YWNhb0BpYmlydWJhLmlmcnMuZWR1LmJywqAKCkFuZHLDqSwgZXNzYSBpbmZvcm1hw6fDo28gZW50ZW5kbyBxdWUgasOhIHBvZGVtb3MgY2l0YXIuCgpBIGRhdGEgZG8gb3LDp2FtZW50byBlc3RpbWFkbyBjb25zaWRlcmFyw6EgbyBtYXBhIGRlIHByZcOnb3M/KhsiFTExMjIyNzk5MjAxNjg4NDk4NjMyMSgAOAAwk9SKgrAxONLM1oawMUKrAgoLQUFBQTdtU1FKTVkSC0FBQUE2ZnNFZURNGkIKCXRleHQvaHRtbBI1w4kgbyBNYXBhIGRlIFByZcOnb3MsIHNpbS4gSW5zZXJpIG5vIGNvcnBvIGRhIG1pbnV0YS4iQwoKdGV4dC9wbGFpbhI1w4kgbyBNYXBhIGRlIFByZcOnb3MsIHNpbS4gSW5zZXJpIG5vIGNvcnBvIGRhIG1pbnV0YS4qGyIVMTA3NTY5OTQzMTg3Mzc2ODU3OTMyKAA4ADDSzNaGsDE40szWhrAxWgw3dXZ6dWtxNTRzMDFyAiAAeACaAQYIABAAGACqATcSNcOJIG8gTWFwYSBkZSBQcmXDp29zLCBzaW0uIEluc2VyaSBubyBjb3JwbyBkYSBtaW51dGEusAEAuAEASiQKCnRleHQvcGxhaW4SFl9fL19fL19fIChERC9NTS9BQUFBKS5QBFoMODYwMjByOHduZWs4cgIgAHgAkgEdChsiFTEwODUzMTkyMzU3NzQxMDMzNjQ4MygAOACaAQYIABAAGACqAZ8CEpwCQDxhIGhyZWY9Im1haWx0bzpsaWNpdGFjYW9AaWJpcnViYS5pZnJzLmVkdS5iciIgZGF0YS1yYXdocmVmPSJtYWlsdG86bGljaXRhY2FvQGliaXJ1YmEuaWZycy5lZHUuYnIiIHRhcmdldD0iX2JsYW5rIj5saWNpdGFjYW9AaWJpcnViYS5pZnJzLmVkdS5icjwvYT7CoDxicj48YnI+QW5kcsOpLCBlc3NhIGluZm9ybWHDp8OjbyBlbnRlbmRvIHF1ZSBqw6EgcG9kZW1vcyBjaXRhci48YnI+PGJyPkEgZGF0YSBkbyBvcsOnYW1lbnRvIGVzdGltYWRvIGNvbnNpZGVyYXLDoSBvIG1hcGEgZGUgcHJlw6dvcz+wAQC4AQAYk9SKgrAxINLM1oawMTAAQhBraXgueXZ2dXN3bXdsY2lwIqAQCgtBQUFBNmZzRWQ3URLuDwoLQUFBQTZmc0VkN1ESC0FBQUE2ZnNFZDdRGi0KCXRleHQvaHRtbBIgTsOjbyBzZXJpYSBzZXJ2acOnb3MgY29udMOtbnVvcz8iLgoKdGV4dC9wbGFpbhIgTsOjbyBzZXJpYSBzZXJ2acOnb3MgY29udMOtbnVvcz8qGyIVMTA4NTMxOTIzNTc3NDEwMzM2NDgzKAA4ADDzurP8rzE4vJC4ibAxQrwECgtBQUFBNmZzRWVDdxILQUFBQTZmc0VkN1EanAEKCXRleHQvaHRtbBKOAWFjaG8gcXVlIGRhcmlhIHBhcmEgbWFudGVyIG8gbWVzbW8gdGV4dG8gZG8gVFI6wqBDb250cmF0YcOnw6NvIGRlIHNlcnZpw6dvcyBkZSBkZXNpbnNldGl6YcOnw6NvIGUgZGVzcmF0aXphw6fDo28gcGFyYSBvIElGUlMgLSBDYW1wdXMgSWJpcnViw6EinQEKCnRleHQvcGxhaW4SjgFhY2hvIHF1ZSBkYXJpYSBwYXJhIG1hbnRlciBvIG1lc21vIHRleHRvIGRvIFRSOsKgQ29udHJhdGHDp8OjbyBkZSBzZXJ2acOnb3MgZGUgZGVzaW5zZXRpemHDp8OjbyBlIGRlc3JhdGl6YcOnw6NvIHBhcmEgbyBJRlJTIC0gQ2FtcHVzIEliaXJ1YsOhKhsiFTExMjIyNzk5MjAxNjg4NDk4NjMyMSgAOAAw0NTjgbAxONDU44GwMVoMaTkwMTMzaG9rM2JwcgIgAHgAmgEGCAAQABgAqgGRARKOAWFjaG8gcXVlIGRhcmlhIHBhcmEgbWFudGVyIG8gbWVzbW8gdGV4dG8gZG8gVFI6wqBDb250cmF0YcOnw6NvIGRlIHNlcnZpw6dvcyBkZSBkZXNpbnNldGl6YcOnw6NvIGUgZGVzcmF0aXphw6fDo28gcGFyYSBvIElGUlMgLSBDYW1wdXMgSWJpcnViw6GwAQC4AQBC3wMKC0FBQUE3bVNRSkxVEgtBQUFBNmZzRWQ3URp+Cgl0ZXh0L2h0bWwScUFtYm9zIGVzdGFyaWFtIGNvcnJldG9zIG5vIG1ldSBwb250byBkZSB2aXN0YSwgcG9pcyDDqSB1bSBzZXJ2acOnbyBjb250w61udW8gZSB0b2RvIHByZWfDo28gw6kgZGUgc2VydmnDp28gY29tdW0uIn8KCnRleHQvcGxhaW4ScUFtYm9zIGVzdGFyaWFtIGNvcnJldG9zIG5vIG1ldSBwb250byBkZSB2aXN0YSwgcG9pcyDDqSB1bSBzZXJ2acOnbyBjb250w61udW8gZSB0b2RvIHByZWfDo28gw6kgZGUgc2VydmnDp28gY29tdW0uKhsiFTEwNzU2OTk0MzE4NzM3Njg1NzkzMigAOAAwqerJhrAxOKnqyYawMVoMYzZmcnNmdTB6Y3drcgIgAHgAmgEGCAAQABgAqgFzEnFBbWJvcyBlc3RhcmlhbSBjb3JyZXRvcyBubyBtZXUgcG9udG8gZGUgdmlzdGEsIHBvaXMgw6kgdW0gc2VydmnDp28gY29udMOtbnVvIGUgdG9kbyBwcmVnw6NvIMOpIGRlIHNlcnZpw6dvIGNvbXVtLrABALgBAELhAgoLQUFBQTdtU1FKbTgSC0FBQUE2ZnNFZDdRGlQKCXRleHQvaHRtbBJHUXVhbmRvIHZhaSByZW5vdmFyLCB0ZW0gcXVlIHRlciBhbGdvIHF1ZSBkaWdhIHF1ZSDDqSBzZXJ2acOnbyBjb250w61udW8iVQoKdGV4dC9wbGFpbhJHUXVhbmRvIHZhaSByZW5vdmFyLCB0ZW0gcXVlIHRlciBhbGdvIHF1ZSBkaWdhIHF1ZSDDqSBzZXJ2acOnbyBjb250w61udW8qGyIVMTA4NTMxOTIzNTc3NDEwMzM2NDgzKAA4ADDXqLiIsDE416i4iLAxWgw5eG1keHpyY2V4NDhyAiAAeACaAQYIABAAGACqAUkSR1F1YW5kbyB2YWkgcmVub3ZhciwgdGVtIHF1ZSB0ZXIgYWxnbyBxdWUgZGlnYSBxdWUgw6kgc2VydmnDp28gY29udMOtbnVvsAEAuAEAQuQCCgtBQUFBN21TUUp6MBILQUFBQTZmc0VkN1EaVQoJdGV4dC9odG1sEkhTaW0sIG5vIHByw7NwcmlvIFRSIGUgRVRQIGVzdMOhIGNsYXJvIHF1ZSDDqSBzZXJ2acOnbyBjb250w61udW8gZSBjb211bS4iVgoKdGV4dC9wbGFpbhJIU2ltLCBubyBwcsOzcHJpbyBUUiBlIEVUUCBlc3TDoSBjbGFybyBxdWUgw6kgc2VydmnDp28gY29udMOtbnVvIGUgY29tdW0uKhsiFTExMjIyNzk5MjAxNjg4NDk4NjMyMSgAOAAwvJC4ibAxOLyQuImwMVoMMXh6bmlud3YxOTZ2cgIgAHgAmgEGCAAQABgAqgFKEkhTaW0sIG5vIHByw7NwcmlvIFRSIGUgRVRQIGVzdMOhIGNsYXJvIHF1ZSDDqSBzZXJ2acOnbyBjb250w61udW8gZSBjb211bS6wAQC4AQBKFAoKdGV4dC9wbGFpbhIGY29tdW5zWgxmczJ2dnZyYXZ0bGhyAiAAeACaAQYIABAAGACqASISIE7Do28gc2VyaWEgc2VydmnDp29zIGNvbnTDrW51b3M/sAEAuAEAGPO6s/yvMSC8kLiJsDEwAEIQa2l4LjV0cGx2Mzc4NjZqaSKHCwoLQUFBQTdtU1FKc2sS1QoKC0FBQUE3bVNRSnNrEgtBQUFBN21TUUpzaxqYAwoJdGV4dC9odG1sEooDQDxhIGhyZWY9Im1haWx0bzpsaWNpdGFjYW9AaWJpcnViYS5pZnJzLmVkdS5iciIgZGF0YS1yYXdIcmVmPSJtYWlsdG86bGljaXRhY2FvQGliaXJ1YmEuaWZycy5lZHUuYnIiIHRhcmdldD0iX2JsYW5rIj5saWNpdGFjYW9AaWJpcnViYS5pZnJzLmVkdS5icjwvYT4gQDxhIGhyZWY9Im1haWx0bzpjb250cmF0b3NAaWJpcnViYS5pZnJzLmVkdS5iciIgZGF0YS1yYXdIcmVmPSJtYWlsdG86Y29udHJhdG9zQGliaXJ1YmEuaWZycy5lZHUuYnIiIHRhcmdldD0iX2JsYW5rIj5jb250cmF0b3NAaWJpcnViYS5pZnJzLmVkdS5icjwvYT7CoDxicj48YnI+Tm8gY29udHJhdG8gZGUgbWFudXRlbsOnw6NvIGRlIGVsZXZhZG9yZXMgZmljb3UgMTUgZGlhcyB1dGVpcywgbyBxdWUgYWNoYW0gZGUgbWFudGVyPyKlAQoKdGV4dC9wbGFpbhKWAUBsaWNpdGFjYW9AaWJpcnViYS5pZnJzLmVkdS5iciBAY29udHJhdG9zQGliaXJ1YmEuaWZycy5lZHUuYnLCoAoKTm8gY29udHJhdG8gZGUgbWFudXRlbsOnw6NvIGRlIGVsZXZhZG9yZXMgZmljb3UgMTUgZGlhcyB1dGVpcywgbyBxdWUgYWNoYW0gZGUgbWFudGVyPyobIhUxMTIyMjc5OTIwMTY4ODQ5ODYzMjEoADgAMIHg5IiwMTjt0JaQsDFCwgEKC0FBQUE2YnFzM0tFEgtBQUFBN21TUUpzaxofCgl0ZXh0L2h0bWwSEkRlIG1pbmhhIHBhcnRlIG9rLiIgCgp0ZXh0L3BsYWluEhJEZSBtaW5oYSBwYXJ0ZSBvay4qGyIVMTA3NTY5OTQzMTg3Mzc2ODU3OTMyKAA4ADDt0JaQsDE47dCWkLAxWgwyN2VubWhwaDY1ZG9yAiAAeACaAQYIABAAGACqARQSEkRlIG1pbmhhIHBhcnRlIG9rLrABALgBAEowCgp0ZXh0L3BsYWluEiIuLi4uLi4uLi4uICguLi4uLi4pIGRpYXMgw7p0ZWlzLCBjUARaDHQzeHhoZDhwZ2lleHICIAB4AJIBHQobIhUxMDg1MzE5MjM1Nzc0MTAzMzY0ODMoADgAmgEGCAAQABgAqgGNAxKKA0A8YSBocmVmPSJtYWlsdG86bGljaXRhY2FvQGliaXJ1YmEuaWZycy5lZHUuYnIiIGRhdGEtcmF3aHJlZj0ibWFpbHRvOmxpY2l0YWNhb0BpYmlydWJhLmlmcnMuZWR1LmJyIiB0YXJnZXQ9Il9ibGFuayI+bGljaXRhY2FvQGliaXJ1YmEuaWZycy5lZHUuYnI8L2E+IEA8YSBocmVmPSJtYWlsdG86Y29udHJhdG9zQGliaXJ1YmEuaWZycy5lZHUuYnIiIGRhdGEtcmF3aHJlZj0ibWFpbHRvOmNvbnRyYXRvc0BpYmlydWJhLmlmcnMuZWR1LmJyIiB0YXJnZXQ9Il9ibGFuayI+Y29udHJhdG9zQGliaXJ1YmEuaWZycy5lZHUuYnI8L2E+wqA8YnI+PGJyPk5vIGNvbnRyYXRvIGRlIG1hbnV0ZW7Dp8OjbyBkZSBlbGV2YWRvcmVzIGZpY291IDE1IGRpYXMgdXRlaXMsIG8gcXVlIGFjaGFtIGRlIG1hbnRlcj+wAQC4AQAYgeDkiLAxIO3QlpCwMTAAQhBraXguMTQxZ2dka3JuamUwIoYECgtBQUFBNmZzRWQ4QRLUAwoLQUFBQTZmc0VkOEESC0FBQUE2ZnNFZDhBGjEKCXRleHQvaHRtbBIkQW8gbG9jYWwgZGEgcHJlc3Rhw6fDo28gZG8gc2VydmnDp28/IjIKCnRleHQvcGxhaW4SJEFvIGxvY2FsIGRhIHByZXN0YcOnw6NvIGRvIHNlcnZpw6dvPyobIhUxMDg1MzE5MjM1Nzc0MTAzMzY0ODMoADgAMJWBjf2vMTjDk9qGsDFCvAEKC0FBQUE3bVNRSk1rEgtBQUFBNmZzRWQ4QRodCgl0ZXh0L2h0bWwSEFRleHRvIGluY2x1w61kby4iHgoKdGV4dC9wbGFpbhIQVGV4dG8gaW5jbHXDrWRvLiobIhUxMDc1Njk5NDMxODczNzY4NTc5MzIoADgAMMOT2oawMTjDk9qGsDFaDGJka2p3em4zdHJnZXICIAB4AJoBBggAEAAYAKoBEhIQVGV4dG8gaW5jbHXDrWRvLrABALgBAEobCgp0ZXh0L3BsYWluEg1yZXBhcnRpw6fDo28sWgxkN3dydnFkN3l2cmlyAiAAeACaAQYIABAAGACqASYSJEFvIGxvY2FsIGRhIHByZXN0YcOnw6NvIGRvIHNlcnZpw6dvP7ABALgBABiVgY39rzEgw5PahrAxMABCEGtpeC52NzZneTNwNnh4MjQi2wcKC0FBQUE2ZnNFZUM4EqkHCgtBQUFBNmZzRWVDOBILQUFBQTZmc0VlQzgacQoJdGV4dC9odG1sEmRBY3Jlc2NlbnRlaSBtYWlzIGluZm9ybWHDp8O1ZXMsIGrDoSBxdWUgc2Vyw6NvIGRvaXMgaXRlbnMgY29tIHBlcmlvZGljaWRhZGUgZGlmZXJlbnRlIGRlIGV4ZWN1w6fDo28uInIKCnRleHQvcGxhaW4SZEFjcmVzY2VudGVpIG1haXMgaW5mb3JtYcOnw7VlcywgasOhIHF1ZSBzZXLDo28gZG9pcyBpdGVucyBjb20gcGVyaW9kaWNpZGFkZSBkaWZlcmVudGUgZGUgZXhlY3XDp8Ojby4qGyIVMTEyMjI3OTkyMDE2ODg0OTg2MzIxKAA4ADCc9oCCsDE4xZfNhrAxQqsBCgtBQUFBN21TUUpMdxILQUFBQTZmc0VlQzgaGQoJdGV4dC9odG1sEgxCZWxlemEmcXVvdDsiFQoKdGV4dC9wbGFpbhIHQmVsZXphIiobIhUxMDc1Njk5NDMxODczNzY4NTc5MzIoADgAMMWXzYawMTjFl82GsDFaDGc0Njc3M3U2NXFjb3ICIAB4AJoBBggAEAAYAKoBDhIMQmVsZXphJnF1b3Q7sAEAuAEASsACCgp0ZXh0L3BsYWluErECdmFsb3IgbWVuc2FsIGRhIGNvbnRyYXRhw6fDo28gZG8gc2VydmnDp28gZGUgZGVzcmF0aXphw6fDo28gw6kgZGUgUiQgLi4uLi4uLi4uLiAoLi4uLi4pLCBwZXJmYXplbmRvIG8gdmFsb3IgdG90YWwgZGUgUiQgLi4uLi4uLiAoLi4uLikgZSBvIHZhbG9yIHBvciBzZXJ2acOnbyBkZSBkZXNpbnNldGl6YcOnw6NvIMOpIGRlIFIkLi4uLi4uLiguLi4uLiksICBwZXJmYXplbmRvIG8gdmFsb3IgdG90YWwgZGUgUiQuLi4uLiAoLi4uLiksIGZpY2FuZG8gbyB2YWxvciBnbG9iYWwgZGUgUiQuLi4uICguLi4uKSBwYXJhIG9zIHNlcnZpw6dvcy5aDHdzdjI2bHZ1MXI5ZHICIAB4AJoBBggAEAAYAKoBZhJkQWNyZXNjZW50ZWkgbWFpcyBpbmZvcm1hw6fDtWVzLCBqw6EgcXVlIHNlcsOjbyBkb2lzIGl0ZW5zIGNvbSBwZXJpb2RpY2lkYWRlIGRpZmVyZW50ZSBkZSBleGVjdcOnw6NvLrABALgBABic9oCCsDEgxZfNhrAxMABCEGtpeC4zMXE1ZmgzN3lkN3Qi+QMKC0FBQUE2ZnNFZDdNEscDCgtBQUFBNmZzRWQ3TRILQUFBQTZmc0VkN00aJwoJdGV4dC9odG1sEhphY3Jlc2NlbnRlaSBhIGRhdGEgaW5pY2lhbCIoCgp0ZXh0L3BsYWluEhphY3Jlc2NlbnRlaSBhIGRhdGEgaW5pY2lhbCobIhUxMDg1MzE5MjM1Nzc0MTAzMzY0ODMoADgAMPeoq/yvMTjizcyGsDFCoQEKC0FBQUE3bVNRSkxrEgtBQUFBNmZzRWQ3TRoUCgl0ZXh0L2h0bWwSB0JlbGV6YSEiFQoKdGV4dC9wbGFpbhIHQmVsZXphISobIhUxMDc1Njk5NDMxODczNzY4NTc5MzIoADgAMOLNzIawMTjizcyGsDFaDGUxOGUzdXdpdjJoeXICIAB4AJoBBggAEAAYAKoBCRIHQmVsZXphIbABALgBAEpHCgp0ZXh0L3BsYWluEjljb25mb3JtZSBwcmV2aXPDo28gZGUgdmlnw6puY2lhIG5vIGluc3RydW1lbnRvIGNvbnRyYXR1YWxaDG9yYXJxdmVvM2c5NXICIAB4AJoBBggAEAAYAKoBHBIaYWNyZXNjZW50ZWkgYSBkYXRhIGluaWNpYWywAQC4AQAY96ir/K8xIOLNzIawMTAAQhBraXgueGRmcHIyaG9ycTNkMglpZC5namRneHMyCmlkLjMwajB6bGwyCWguMWZvYjl0ZTIJaC4zem55c2g3MgloLjJldDkycDAyCGgudHlqY3d0MgloLjNkeTZ2a20yCWguMXQzaDVzZjIJaC40ZDM0b2c4OAByITFJSi03aFJtbUR3QXJUcVBIVTBEcTVuQkM1Ym16UDBr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2</TotalTime>
  <Application>LibreOffice/7.4.1.2$Windows_X86_64 LibreOffice_project/3c58a8f3a960df8bc8fd77b461821e42c061c5f0</Application>
  <AppVersion>15.0000</AppVersion>
  <Pages>17</Pages>
  <Words>6631</Words>
  <Characters>37453</Characters>
  <CharactersWithSpaces>43683</CharactersWithSpaces>
  <Paragraphs>283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2023-10-10T16:34:20Z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